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Sanford,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2021; May</w:t>
      </w:r>
      <w:r xml:space="preserve">
        <w:t> </w:t>
      </w:r>
      <w:r>
        <w:t xml:space="preserve">10,</w:t>
      </w:r>
      <w:r xml:space="preserve">
        <w:t> </w:t>
      </w:r>
      <w:r>
        <w:t xml:space="preserve">2021, read first time and referred to Committee on State Affairs; May</w:t>
      </w:r>
      <w:r xml:space="preserve">
        <w:t> </w:t>
      </w:r>
      <w:r>
        <w:t xml:space="preserve">14,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7, Nays</w:t>
      </w:r>
      <w:r xml:space="preserve">
        <w:t> </w:t>
      </w:r>
      <w:r>
        <w:t xml:space="preserve">1; May</w:t>
      </w:r>
      <w:r xml:space="preserve">
        <w:t> </w:t>
      </w:r>
      <w:r>
        <w:t xml:space="preserve">14,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Nelson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carrying and possession of a handgun by a public junior college school marshal.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51.220(e),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Any written regulations adopted for purposes of Subsection (d)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</w:t>
      </w:r>
      <w:r>
        <w:t xml:space="preserve"> [</w:t>
      </w:r>
      <w:r>
        <w:rPr>
          <w:strike/>
        </w:rPr>
        <w:t xml:space="preserve">provide that</w:t>
      </w:r>
      <w:r>
        <w:t xml:space="preserve">] a school marshal </w:t>
      </w:r>
      <w:r>
        <w:rPr>
          <w:u w:val="single"/>
        </w:rPr>
        <w:t xml:space="preserve">to</w:t>
      </w:r>
      <w:r>
        <w:t xml:space="preserve"> [</w:t>
      </w:r>
      <w:r>
        <w:rPr>
          <w:strike/>
        </w:rPr>
        <w:t xml:space="preserve">may</w:t>
      </w:r>
      <w:r>
        <w:t xml:space="preserve">] carry a concealed handgun as described by Subsection (d)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 except that if the primary duty of the school marshal involves regular, direct contact with students, the marshal may not carry a concealed handgun but may possess a handgun on the physical premises of a public junior college campus in a locked and secured safe within the marshal's immediate reach when conducting the marshal's primary duty. The written regulations must also</w:t>
      </w:r>
      <w:r>
        <w:t xml:space="preserve">] require [</w:t>
      </w:r>
      <w:r>
        <w:rPr>
          <w:strike/>
        </w:rPr>
        <w:t xml:space="preserve">that</w:t>
      </w:r>
      <w:r>
        <w:t xml:space="preserve">] a handgun carried </w:t>
      </w:r>
      <w:r>
        <w:rPr>
          <w:u w:val="single"/>
        </w:rPr>
        <w:t xml:space="preserve">or possessed</w:t>
      </w:r>
      <w:r>
        <w:t xml:space="preserve"> by [</w:t>
      </w:r>
      <w:r>
        <w:rPr>
          <w:strike/>
        </w:rPr>
        <w:t xml:space="preserve">or within access of</w:t>
      </w:r>
      <w:r>
        <w:t xml:space="preserve">] a school marshal </w:t>
      </w:r>
      <w:r>
        <w:rPr>
          <w:u w:val="single"/>
        </w:rPr>
        <w:t xml:space="preserve">to</w:t>
      </w:r>
      <w:r>
        <w:t xml:space="preserve"> [</w:t>
      </w:r>
      <w:r>
        <w:rPr>
          <w:strike/>
        </w:rPr>
        <w:t xml:space="preserve">may</w:t>
      </w:r>
      <w:r>
        <w:t xml:space="preserve">] be loaded only with frangible duty ammunition approved for that purpose by the Texas Commission on Law Enforcement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a school marshal to store the handgun in a locked container while on duty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