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behavior improvement plans and behavioral intervention plans for certain public school students and notification and documentation requirements regarding certain behavior management techniques.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29.005,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behavior improvement plan or a behavioral intervention plan is included as part of a student's individualized education program under Subsection (g), the committee shall review the plan at least annually and more frequently if appropriate to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changes in a student's circumstances that may impact the student's behavior,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placement of the student in a different educational setting;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increase or persistence in disciplinary actions taken regarding the student for similar types of behavioral incidents;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pattern of unexcused absences;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unauthorized unsupervised departure from an educational setting;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student or others.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37.0021(d),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school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district employee or volunteer or independent contractor of the district who administered the restraint;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restraint;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time that the restraint started and ended;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location of the restraint;</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nature of the restraint;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description of the activity in which the student was engaged immediately preceding the use of the restraint;</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behavior of the student that prompted the restraint;</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any efforts made to de-escalate the situation and any alternatives to restraint that were attempted;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in a student's special education eligibility school records: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information on the method by which the written notification was sent to the parent or person;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contact information for the parent or person to whom the district sent the notification;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student has a behavior improvement plan or behavioral intervention plan, document each use of time-out prompted by a behavior of the student specified in the student's plan, including a description of the behavior that prompted the time-out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37.004,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school district takes a disciplinary action regarding a student with a disability who receives special education services that constitutes a change in placement under federal law,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school day after the change in placement: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seek consent from the student's parent or person standing in parental relation to the student to conduct a functional behavioral assessment of the student, if a functional behavioral assessment has never been conducted on the student or the student's most recent functional behavioral assessment is more than one year old;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any previously conducted functional behavioral assessment of the student and any behavior improvement plan or behavioral intervention plan developed for the student based on that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behavior improvement plan or behavioral intervention plan for the student if the student does not have a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has a behavior improvement plan or behavioral intervention plan, revise the student's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785 was passed by the House on April 8,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785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