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87R9746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786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cardiopulmonary resuscitation training for telecommunicators.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1701.3071,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training required by Subsection (a)(2) must include telecommunicator cardiopulmonary resuscitation training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the most current nationally recognized emergency cardiovascular care guidelines;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incorporates recognition protocols for out-of-hospital cardiac arrest;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information on best practices for relaying compression-only cardiopulmonary resuscitation instructions to callers.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1701.352(i),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state agency, county, special district, or municipality that appoints or employs a telecommunicator shall provide training to the telecommunicator of not less than 20 hours during each 24-month period of employment </w:t>
      </w:r>
      <w:r>
        <w:rPr>
          <w:u w:val="single"/>
        </w:rPr>
        <w:t xml:space="preserve">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telecommunicator cardiopulmonary resuscitation as described by Section 1701.3071(a-1);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. The training must be approved by the commission and consist of</w:t>
      </w:r>
      <w:r>
        <w:t xml:space="preserve">] topics selected by the commission and the employing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adopt rules necessary to implement Section 1701.3071(a-1), Occupations Code, as added by this Act, and Section 1701.352(i),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786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