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87R3136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engaging with state and local policy makers;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a lawful manner in rallies, marches, or other public displays of organized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