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87R3286 JCG-D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799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prohibiting carrying a firearm while intoxicated; creating a criminal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46, Penal Code, is amended by adding Section 46.025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46.025.</w:t>
      </w:r>
      <w:r>
        <w:rPr>
          <w:u w:val="single"/>
        </w:rPr>
        <w:t xml:space="preserve"> </w:t>
      </w:r>
      <w:r>
        <w:rPr>
          <w:u w:val="single"/>
        </w:rPr>
        <w:t xml:space="preserve"> </w:t>
      </w:r>
      <w:r>
        <w:rPr>
          <w:u w:val="single"/>
        </w:rPr>
        <w:t xml:space="preserve">UNLAWFUL CARRYING OF FIREARM WHILE INTOXICATED.  (a)  A person commits an offense if, while intoxicated, the person carries on or about his or her person a firearm, including a handgun or long gun, in a public place.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Class C misdemeanor.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does not apply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special investigator under Article 2.122, Code of Criminal Procedure, or a peace officer regardless of whether the special investigator or peace officer is engaged in the actual discharge of the investigator's or officer's duties while carrying the firearm;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person who carries a firearm that is unloaded and encased in a container.</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It is not a defense to prosecution under this section that the actor carried a handgun under the authority of Subchapter H, Chapter 411, Government Code.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In this section, "intoxicated" has the meaning assigned by Section 49.01.</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For purposes of this section, "public place"</w:t>
      </w:r>
      <w:r>
        <w:rPr>
          <w:u w:val="single"/>
        </w:rPr>
        <w:t xml:space="preserve"> </w:t>
      </w:r>
      <w:r>
        <w:rPr>
          <w:u w:val="single"/>
        </w:rPr>
        <w:t xml:space="preserve">does not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interior of a motor vehicle not used for mass transit;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actor's private residence, including the curtilage of that residence.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411.186(a),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 shall revoke a license under this section if the license holder:</w:t>
      </w:r>
    </w:p>
    <w:p w:rsidR="003F3435" w:rsidRDefault="0032493E">
      <w:pPr>
        <w:spacing w:line="480" w:lineRule="auto"/>
        <w:ind w:firstLine="1440"/>
        <w:jc w:val="both"/>
      </w:pPr>
      <w:r>
        <w:t xml:space="preserve">(1)</w:t>
      </w:r>
      <w:r xml:space="preserve">
        <w:t> </w:t>
      </w:r>
      <w:r xml:space="preserve">
        <w:t> </w:t>
      </w:r>
      <w:r>
        <w:t xml:space="preserve">was not entitled to the license at the time it was issued;</w:t>
      </w:r>
    </w:p>
    <w:p w:rsidR="003F3435" w:rsidRDefault="0032493E">
      <w:pPr>
        <w:spacing w:line="480" w:lineRule="auto"/>
        <w:ind w:firstLine="1440"/>
        <w:jc w:val="both"/>
      </w:pPr>
      <w:r>
        <w:t xml:space="preserve">(2)</w:t>
      </w:r>
      <w:r xml:space="preserve">
        <w:t> </w:t>
      </w:r>
      <w:r xml:space="preserve">
        <w:t> </w:t>
      </w:r>
      <w:r>
        <w:t xml:space="preserve">made a material misrepresentation or failed to disclose a material fact in an application submitted under this subchapter;</w:t>
      </w:r>
    </w:p>
    <w:p w:rsidR="003F3435" w:rsidRDefault="0032493E">
      <w:pPr>
        <w:spacing w:line="480" w:lineRule="auto"/>
        <w:ind w:firstLine="1440"/>
        <w:jc w:val="both"/>
      </w:pPr>
      <w:r>
        <w:t xml:space="preserve">(3)</w:t>
      </w:r>
      <w:r xml:space="preserve">
        <w:t> </w:t>
      </w:r>
      <w:r xml:space="preserve">
        <w:t> </w:t>
      </w:r>
      <w:r>
        <w:t xml:space="preserve">subsequently becomes ineligible for a license under Section 411.172, unless the sole basis for the ineligibility is that the license holder is charged with the commission of a Class A or Class B misdemeanor or equivalent offense, or of an offense under Section 42.01, Penal Code, or equivalent offense, or of a felony under an information or indictment;</w:t>
      </w:r>
    </w:p>
    <w:p w:rsidR="003F3435" w:rsidRDefault="0032493E">
      <w:pPr>
        <w:spacing w:line="480" w:lineRule="auto"/>
        <w:ind w:firstLine="1440"/>
        <w:jc w:val="both"/>
      </w:pPr>
      <w:r>
        <w:t xml:space="preserve">(4)</w:t>
      </w:r>
      <w:r xml:space="preserve">
        <w:t> </w:t>
      </w:r>
      <w:r xml:space="preserve">
        <w:t> </w:t>
      </w:r>
      <w:r>
        <w:t xml:space="preserve">is convicted of an offense under Section </w:t>
      </w:r>
      <w:r>
        <w:rPr>
          <w:u w:val="single"/>
        </w:rPr>
        <w:t xml:space="preserve">46.025 or</w:t>
      </w:r>
      <w:r>
        <w:t xml:space="preserve"> 46.035, Penal Code;</w:t>
      </w:r>
    </w:p>
    <w:p w:rsidR="003F3435" w:rsidRDefault="0032493E">
      <w:pPr>
        <w:spacing w:line="480" w:lineRule="auto"/>
        <w:ind w:firstLine="1440"/>
        <w:jc w:val="both"/>
      </w:pPr>
      <w:r>
        <w:t xml:space="preserve">(5)</w:t>
      </w:r>
      <w:r xml:space="preserve">
        <w:t> </w:t>
      </w:r>
      <w:r xml:space="preserve">
        <w:t> </w:t>
      </w:r>
      <w:r>
        <w:t xml:space="preserve">is determined by the department to have engaged in conduct constituting a reason to suspend a license listed in Section 411.187(a) after the person's license has been previously suspended twice for the same reason; or</w:t>
      </w:r>
    </w:p>
    <w:p w:rsidR="003F3435" w:rsidRDefault="0032493E">
      <w:pPr>
        <w:spacing w:line="480" w:lineRule="auto"/>
        <w:ind w:firstLine="1440"/>
        <w:jc w:val="both"/>
      </w:pPr>
      <w:r>
        <w:t xml:space="preserve">(6)</w:t>
      </w:r>
      <w:r xml:space="preserve">
        <w:t> </w:t>
      </w:r>
      <w:r xml:space="preserve">
        <w:t> </w:t>
      </w:r>
      <w:r>
        <w:t xml:space="preserve">submits an application fee that is dishonored or reversed if the applicant fails to submit a cashier's check or money order made payable to the "Department of Public Safety of the State of Texas" in the amount of the dishonored or reversed fee, plus $25, within 30 days of being notified by the department that the fee was dishonored or reversed.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411.198(b), Government Code, is amended to read as follows:</w:t>
      </w:r>
    </w:p>
    <w:p w:rsidR="003F3435" w:rsidRDefault="0032493E">
      <w:pPr>
        <w:spacing w:line="480" w:lineRule="auto"/>
        <w:ind w:firstLine="720"/>
        <w:jc w:val="both"/>
      </w:pPr>
      <w:r>
        <w:t xml:space="preserve">(b)</w:t>
      </w:r>
      <w:r xml:space="preserve">
        <w:t> </w:t>
      </w:r>
      <w:r xml:space="preserve">
        <w:t> </w:t>
      </w:r>
      <w:r>
        <w:t xml:space="preserve">It is a defense to prosecution under Section </w:t>
      </w:r>
      <w:r>
        <w:rPr>
          <w:u w:val="single"/>
        </w:rPr>
        <w:t xml:space="preserve">46.025 or</w:t>
      </w:r>
      <w:r>
        <w:t xml:space="preserve"> 46.035, Penal Code, that the actor, at the time of the commission of the offense, was the holder of an alias license issued under this section.</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411.206(c), Government Code, is amended to read as follows:</w:t>
      </w:r>
    </w:p>
    <w:p w:rsidR="003F3435" w:rsidRDefault="0032493E">
      <w:pPr>
        <w:spacing w:line="480" w:lineRule="auto"/>
        <w:ind w:firstLine="720"/>
        <w:jc w:val="both"/>
      </w:pPr>
      <w:r>
        <w:t xml:space="preserve">(c)</w:t>
      </w:r>
      <w:r xml:space="preserve">
        <w:t> </w:t>
      </w:r>
      <w:r xml:space="preserve">
        <w:t> </w:t>
      </w:r>
      <w:r>
        <w:t xml:space="preserve">Any judgment of conviction entered by any court for an offense under Section </w:t>
      </w:r>
      <w:r>
        <w:rPr>
          <w:u w:val="single"/>
        </w:rPr>
        <w:t xml:space="preserve">46.025 or</w:t>
      </w:r>
      <w:r>
        <w:t xml:space="preserve"> 46.035, Penal Code, </w:t>
      </w:r>
      <w:r>
        <w:rPr>
          <w:u w:val="single"/>
        </w:rPr>
        <w:t xml:space="preserve">committed by a license holder</w:t>
      </w:r>
      <w:r>
        <w:t xml:space="preserve"> must contain the handgun license number of the convicted license holder.  A certified copy of the judgment is conclusive and sufficient evidence to justify revocation of a license under Section 411.186(a)(4).</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46.035(d), Penal Code, is repealed.</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The changes in law made by this Act apply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799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