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804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offset for amounts paid under an automobile insurance policy's personal injury protection coverage against a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1952.159,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if</w:t>
      </w:r>
      <w:r>
        <w:t xml:space="preserve"> [</w:t>
      </w:r>
      <w:r>
        <w:rPr>
          <w:strike/>
        </w:rPr>
        <w:t xml:space="preserve">If</w:t>
      </w:r>
      <w:r>
        <w:t xml:space="preserve">] a liability claim is made by a guest or passenger described by Section 1952.151 against the owner or operator of the motor vehicle in which the guest or passenger was riding or against the owner's or operator's liability insurer, the owner or operator of the motor vehicle or the owner's or operator's liability insurer is entitled to an offset, credit, or deduction against any award made to the guest or passenger in an amount equal to the amounts paid by the owner, the operator, or the owner's or operator's automobile liability insurer to the guest or passenger under personal injury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owner's or operator's liability insurer is not entitled to an offset, credit, or deduction under Subsection (a) if the insurer has not paid, in relation to the accident, the full amount of the applicable liability policy limit under the owner's or operator's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1952.159, Insurance Code, as amended by this Act, applies only to a cause of action that accrues on or after the effective date of this Act. </w:t>
      </w:r>
      <w:r>
        <w:t xml:space="preserve"> </w:t>
      </w:r>
      <w:r>
        <w:t xml:space="preserve">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