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nonsubmetered billing for water or wastewater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552, Local Government Code, is amended by adding Section 552.915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552.915.</w:t>
      </w:r>
      <w:r>
        <w:rPr>
          <w:u w:val="single"/>
        </w:rPr>
        <w:t xml:space="preserve"> </w:t>
      </w:r>
      <w:r>
        <w:rPr>
          <w:u w:val="single"/>
        </w:rPr>
        <w:t xml:space="preserve"> </w:t>
      </w:r>
      <w:r>
        <w:rPr>
          <w:u w:val="single"/>
        </w:rPr>
        <w:t xml:space="preserve">MUNICIPAL NONSUBMETERED BILLING; CHARGES.  (a)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"Apartment house" has the meaning assigned by Section 13.501,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"Dwelling unit"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or more rooms in an apartment house or condominium, suitable for occupancy as a residence, and containing kitchen and bathroom facilities;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manufactured home in a manufactured home rental community;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unit in a multiple use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"Manufactured home rental community" has the meaning assigned by Section 13.501, Water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"Multiple use facility" has the meaning assigned by Section 13.501, Water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"Municipally owned utility" means a utility that provides water or sewer service and is owned, operated, and controlled by a municipality or by a nonprofit corporation whose directors are appointed by one or more municipalities.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"Nonsubmetered master metered utility service" means water utility service that is master metered for the apartment house, manufactured home rental community, or multiple use facility but not submetered, and wastewater utility service based on master metered water utility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municipally owned utility that bills for nonsubmetered master metered utility service shall make publicly available for each apartment house, manufactured home rental community, and multiple use facility billed a statement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copy of the municipally owned utility's rate structure applicable to the billed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fees and charges applicable to the billed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authorize or require a municipally owned utility to make an entity's bill publicly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municipally owned utility may not 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dwelling unit base charge for nonsubmetered master metered utility service if the utility charges a master meter charge for the same apartment house, manufactured home rental community, or multiple use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master meter charge for nonsubmetered master metered utility service if the charge is based on the number of dwelling units.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does not apply to a dwelling unit base charge that is charged in connection with a fee imposed on the municipally owned utility by another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