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87R2595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817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 quick draw lottery game; requiring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466.002, Government Code, is amended by adding Subdivision (8-a) to read as follows: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"Quick draw lottery game" means a lottery game in which a drawing occurs 12 to 15 times per hour between the hours of 7 a.m. and 2 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466, Government Code, is amended by adding Section 466.029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466.029.</w:t>
      </w:r>
      <w:r>
        <w:rPr>
          <w:u w:val="single"/>
        </w:rPr>
        <w:t xml:space="preserve"> </w:t>
      </w:r>
      <w:r>
        <w:rPr>
          <w:u w:val="single"/>
        </w:rPr>
        <w:t xml:space="preserve"> </w:t>
      </w:r>
      <w:r>
        <w:rPr>
          <w:u w:val="single"/>
        </w:rPr>
        <w:t xml:space="preserve">QUICK DRAW LOTTERY GAME; SALES AGENT LICENSE FOR QUICK DRAW LOTTERY GAME.  (a) </w:t>
      </w:r>
      <w:r>
        <w:rPr>
          <w:u w:val="single"/>
        </w:rPr>
        <w:t xml:space="preserve"> </w:t>
      </w:r>
      <w:r>
        <w:rPr>
          <w:u w:val="single"/>
        </w:rPr>
        <w:t xml:space="preserve">The commission shall operate a quick draw lottery game.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ticket price, payout amounts, and manner in which the game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 the locations authorized to sell the quick draw lottery game tickets to only locations licensed as sales agents in accordance with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game remains competitive with other lottery games offered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license as sales agents to sell quick draw lottery game tickets only holders of one of the following permits or licenses issued by the Texas Alcoholic Beverage Commission for locations that provide on-premises consumption of alcohol: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winery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wine and malt beverage retailer's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mixed beverage permit;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private club registration permit;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retail dealer's on-premise license;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brewpub license;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brewer's license;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distiller's and rectifier's permit.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466.155(a)(4)(C) does not apply to a sales agent who is licensed to sell quick draw lottery game tickets.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market and advertise the lottery game operated under this section in a manner intended to inform the public that the game tickets are available for purchase from licensed sales agents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the rules necessary to operate a quick draw lottery game.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but not later than January 1, 2022, the Texas Lottery Commission shall implement Section 466.029, Government Code, as added by this Act, by adopting all necessary rules and procedures, issuing sales agent licenses, and establishing the quick draw lottery game.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