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chronically absent students as students at risk of dropping out of school and the collection and reporting of data regarding those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w:t>
      </w:r>
      <w:r>
        <w:rPr>
          <w:strike/>
        </w:rPr>
        <w:t xml:space="preserve">or</w:t>
      </w:r>
      <w:r>
        <w:t xml:space="preserve">]</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is a chronically absent student, as defined by Section 48.009;</w:t>
      </w:r>
      <w: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48.009, Education Code, is amended by amending Subsections (a) and (b)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"Chronically absent student" means a student who is absent from school for more than 10 percent of the days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six-week grade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"Full-time</w:t>
      </w:r>
      <w:r>
        <w:t xml:space="preserve"> [</w:t>
      </w:r>
      <w:r>
        <w:rPr>
          <w:strike/>
        </w:rPr>
        <w:t xml:space="preserve">,"full-time</w:t>
      </w:r>
      <w:r>
        <w:t xml:space="preserve">] equivalent school counselor" means 40 hours of counseling services a week.</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chronically absent students enrolled at each campus in the district or school disaggregated by students' race, ethnicity, and status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enrolled in a special education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identified as having dyslexia;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educationally disadvantaged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of limited English proficiency as defined by Section 29.052</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shall annually aggregate and make publicly available the data on student chronic absenteeism collected under Subsection (b)(6). The data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shown at the campus and district aggregate levels;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percentage of chronically absent students in each demographic category listed under Subsection (b)(6).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