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87R3611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of certain property from municipal drainage service charges.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552.053, Local Government Code, is amended by adding Subsections (d-2) and (d-3)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exempt property from all or a portion of drainage charges under Section 552.047 if the property is used as the principal residence of an individual who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disabled as defined by Section 11.13(m), Tax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65 years of age or older;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veteran of the armed services of the United States;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armed services of the United States on active deployment.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may impose additional eligibility requirements for an exemption authorized under Subsection (d-2).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