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842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in a criminal case of certain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38.51.</w:t>
      </w:r>
      <w:r>
        <w:rPr>
          <w:u w:val="single"/>
        </w:rPr>
        <w:t xml:space="preserve"> </w:t>
      </w:r>
      <w:r>
        <w:rPr>
          <w:u w:val="single"/>
        </w:rPr>
        <w:t xml:space="preserve"> </w:t>
      </w:r>
      <w:r>
        <w:rPr>
          <w:u w:val="single"/>
        </w:rPr>
        <w:t xml:space="preserve">TIMELY DISCLOSURE OF CRIMINAL HISTORY RECORD INFORMATION SUFFICIENT FOR PURPOSES OF CERTAIN NOTICE REQUIREMENTS.  (a)  In this article, "criminal history record information" has the meaning assigned by Section 411.082,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to the notice requirements relating to the state's intention to introduce evidence of other crimes, wrongs, or acts committed by the defendant or evidence of the prior criminal record of a potential witness in the case as permitted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 Article 37.07, or Article 38.37;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 404 or 609, Texas Rules of Evidence;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law authorizing the introduction of that evidence following notice by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if the attorney representing the state timely discloses to the defendant or the attorney representing the defendant criminal history record information in the original format in which the information was retrieved from a database maintained by the Department of Public Safety or the Federal Bureau of Investigation, including the Texas Crime Information Center and National Crime Information Center, and if that disclosure is made in accordance with Article 39.14, the notice requirements described by Subsection (b) are satisfied with respect to the criminal history record information contained in the disclosure.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criminal history record information that the state intends to introduce for the purpose of enhancing the punishment for an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411, Government Code, is amended by adding Section 411.0844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411.0844.</w:t>
      </w:r>
      <w:r>
        <w:rPr>
          <w:u w:val="single"/>
        </w:rPr>
        <w:t xml:space="preserve"> </w:t>
      </w:r>
      <w:r>
        <w:rPr>
          <w:u w:val="single"/>
        </w:rPr>
        <w:t xml:space="preserve"> </w:t>
      </w:r>
      <w:r>
        <w:rPr>
          <w:u w:val="single"/>
        </w:rPr>
        <w:t xml:space="preserve">DISCLOSURE OF CRIMINAL HISTORY RECORD INFORMATION IN CRIMINAL CASE.  (a) </w:t>
      </w:r>
      <w:r>
        <w:rPr>
          <w:u w:val="single"/>
        </w:rPr>
        <w:t xml:space="preserve"> </w:t>
      </w:r>
      <w:r>
        <w:rPr>
          <w:u w:val="single"/>
        </w:rPr>
        <w:t xml:space="preserve">An attorney representing the state in a criminal case may disclose to the defendant or the attorney representing the defendant criminal history record information that relates to the defendant or a potential witness in the case and that is obtained from the department or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representing the state shall provide with the disclosure a copy of Section 411.085 providing criminal penalties for the unauthorized obtaining, use, or disclosure of criminal history record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38.51, Code of Criminal Procedure, as added by this Act, applies only to a trial that begins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