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87R734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865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spousal maintenance.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8.052, Family Code, is amended to read as follows:</w:t>
      </w:r>
    </w:p>
    <w:p w:rsidR="003F3435" w:rsidRDefault="0032493E">
      <w:pPr>
        <w:spacing w:line="480" w:lineRule="auto"/>
        <w:ind w:firstLine="720"/>
        <w:jc w:val="both"/>
      </w:pPr>
      <w:r>
        <w:t xml:space="preserve">Sec.</w:t>
      </w:r>
      <w:r xml:space="preserve">
        <w:t> </w:t>
      </w:r>
      <w:r>
        <w:t xml:space="preserve">8.052.</w:t>
      </w:r>
      <w:r xml:space="preserve">
        <w:t> </w:t>
      </w:r>
      <w:r xml:space="preserve">
        <w:t> </w:t>
      </w:r>
      <w:r>
        <w:t xml:space="preserve">FACTORS IN DETERMINING </w:t>
      </w:r>
      <w:r>
        <w:rPr>
          <w:u w:val="single"/>
        </w:rPr>
        <w:t xml:space="preserve">ORIGINAL</w:t>
      </w:r>
      <w:r>
        <w:t xml:space="preserve"> MAINTENANCE </w:t>
      </w:r>
      <w:r>
        <w:rPr>
          <w:u w:val="single"/>
        </w:rPr>
        <w:t xml:space="preserve">ORDER</w:t>
      </w:r>
      <w:r>
        <w:t xml:space="preserve">.  </w:t>
      </w:r>
      <w:r>
        <w:rPr>
          <w:u w:val="single"/>
        </w:rPr>
        <w:t xml:space="preserve">(a)</w:t>
      </w:r>
      <w:r>
        <w:t xml:space="preserve">  A court that determines that a spouse is eligible to receive maintenance under this chapter shall determine the nature, amount, duration, and manner of periodic payments by considering all relevant factors, including:</w:t>
      </w:r>
    </w:p>
    <w:p w:rsidR="003F3435" w:rsidRDefault="0032493E">
      <w:pPr>
        <w:spacing w:line="480" w:lineRule="auto"/>
        <w:ind w:firstLine="1440"/>
        <w:jc w:val="both"/>
      </w:pPr>
      <w:r>
        <w:t xml:space="preserve">(1)</w:t>
      </w:r>
      <w:r xml:space="preserve">
        <w:t> </w:t>
      </w:r>
      <w:r xml:space="preserve">
        <w:t> </w:t>
      </w:r>
      <w:r>
        <w:t xml:space="preserve">each spouse's ability to provide for that spouse's minimum reasonable needs independently, considering that spouse's financial resources on dissolution of the marriage;</w:t>
      </w:r>
    </w:p>
    <w:p w:rsidR="003F3435" w:rsidRDefault="0032493E">
      <w:pPr>
        <w:spacing w:line="480" w:lineRule="auto"/>
        <w:ind w:firstLine="1440"/>
        <w:jc w:val="both"/>
      </w:pPr>
      <w:r>
        <w:t xml:space="preserve">(2)</w:t>
      </w:r>
      <w:r xml:space="preserve">
        <w:t> </w:t>
      </w:r>
      <w:r xml:space="preserve">
        <w:t> </w:t>
      </w:r>
      <w:r>
        <w:t xml:space="preserve">the education and employment skills of the spouses, the time necessary to acquire sufficient education or training to enable the spouse seeking maintenance to earn sufficient income, and the availability and feasibility of that education or training;</w:t>
      </w:r>
    </w:p>
    <w:p w:rsidR="003F3435" w:rsidRDefault="0032493E">
      <w:pPr>
        <w:spacing w:line="480" w:lineRule="auto"/>
        <w:ind w:firstLine="1440"/>
        <w:jc w:val="both"/>
      </w:pPr>
      <w:r>
        <w:t xml:space="preserve">(3)</w:t>
      </w:r>
      <w:r xml:space="preserve">
        <w:t> </w:t>
      </w:r>
      <w:r xml:space="preserve">
        <w:t> </w:t>
      </w:r>
      <w:r>
        <w:t xml:space="preserve">the duration of the marriage;</w:t>
      </w:r>
    </w:p>
    <w:p w:rsidR="003F3435" w:rsidRDefault="0032493E">
      <w:pPr>
        <w:spacing w:line="480" w:lineRule="auto"/>
        <w:ind w:firstLine="1440"/>
        <w:jc w:val="both"/>
      </w:pPr>
      <w:r>
        <w:t xml:space="preserve">(4)</w:t>
      </w:r>
      <w:r xml:space="preserve">
        <w:t> </w:t>
      </w:r>
      <w:r xml:space="preserve">
        <w:t> </w:t>
      </w:r>
      <w:r>
        <w:t xml:space="preserve">the age, employment history, earning ability, and physical and emotional condition of the spouse seeking maintenance;</w:t>
      </w:r>
    </w:p>
    <w:p w:rsidR="003F3435" w:rsidRDefault="0032493E">
      <w:pPr>
        <w:spacing w:line="480" w:lineRule="auto"/>
        <w:ind w:firstLine="1440"/>
        <w:jc w:val="both"/>
      </w:pPr>
      <w:r>
        <w:t xml:space="preserve">(5)</w:t>
      </w:r>
      <w:r xml:space="preserve">
        <w:t> </w:t>
      </w:r>
      <w:r xml:space="preserve">
        <w:t> </w:t>
      </w:r>
      <w:r>
        <w:t xml:space="preserve">the effect on each spouse's ability to provide for that spouse's minimum reasonable needs while providing periodic child support payments or maintenance, if applicable;</w:t>
      </w:r>
    </w:p>
    <w:p w:rsidR="003F3435" w:rsidRDefault="0032493E">
      <w:pPr>
        <w:spacing w:line="480" w:lineRule="auto"/>
        <w:ind w:firstLine="1440"/>
        <w:jc w:val="both"/>
      </w:pPr>
      <w:r>
        <w:t xml:space="preserve">(6)</w:t>
      </w:r>
      <w:r xml:space="preserve">
        <w:t> </w:t>
      </w:r>
      <w:r xml:space="preserve">
        <w:t> </w:t>
      </w:r>
      <w:r>
        <w:t xml:space="preserve">acts by either spouse resulting in excessive or abnormal expenditures or destruction, concealment, or fraudulent disposition of community property, joint tenancy, or other property held in common;</w:t>
      </w:r>
    </w:p>
    <w:p w:rsidR="003F3435" w:rsidRDefault="0032493E">
      <w:pPr>
        <w:spacing w:line="480" w:lineRule="auto"/>
        <w:ind w:firstLine="1440"/>
        <w:jc w:val="both"/>
      </w:pPr>
      <w:r>
        <w:t xml:space="preserve">(7)</w:t>
      </w:r>
      <w:r xml:space="preserve">
        <w:t> </w:t>
      </w:r>
      <w:r xml:space="preserve">
        <w:t> </w:t>
      </w:r>
      <w:r>
        <w:t xml:space="preserve">the contribution by one spouse to the education, training, or increased earning power of the other spouse;</w:t>
      </w:r>
    </w:p>
    <w:p w:rsidR="003F3435" w:rsidRDefault="0032493E">
      <w:pPr>
        <w:spacing w:line="480" w:lineRule="auto"/>
        <w:ind w:firstLine="1440"/>
        <w:jc w:val="both"/>
      </w:pPr>
      <w:r>
        <w:t xml:space="preserve">(8)</w:t>
      </w:r>
      <w:r xml:space="preserve">
        <w:t> </w:t>
      </w:r>
      <w:r xml:space="preserve">
        <w:t> </w:t>
      </w:r>
      <w:r>
        <w:t xml:space="preserve">the property brought to the marriage by either spouse;</w:t>
      </w:r>
    </w:p>
    <w:p w:rsidR="003F3435" w:rsidRDefault="0032493E">
      <w:pPr>
        <w:spacing w:line="480" w:lineRule="auto"/>
        <w:ind w:firstLine="1440"/>
        <w:jc w:val="both"/>
      </w:pPr>
      <w:r>
        <w:t xml:space="preserve">(9)</w:t>
      </w:r>
      <w:r xml:space="preserve">
        <w:t> </w:t>
      </w:r>
      <w:r xml:space="preserve">
        <w:t> </w:t>
      </w:r>
      <w:r>
        <w:t xml:space="preserve">the contribution of a spouse as homemaker;</w:t>
      </w:r>
    </w:p>
    <w:p w:rsidR="003F3435" w:rsidRDefault="0032493E">
      <w:pPr>
        <w:spacing w:line="480" w:lineRule="auto"/>
        <w:ind w:firstLine="1440"/>
        <w:jc w:val="both"/>
      </w:pPr>
      <w:r>
        <w:t xml:space="preserve">(10)</w:t>
      </w:r>
      <w:r xml:space="preserve">
        <w:t> </w:t>
      </w:r>
      <w:r xml:space="preserve">
        <w:t> </w:t>
      </w:r>
      <w:r>
        <w:t xml:space="preserve">marital misconduct, including adultery and cruel treatment, by either spouse during the marriage; [</w:t>
      </w:r>
      <w:r>
        <w:rPr>
          <w:strike/>
        </w:rPr>
        <w:t xml:space="preserve">and</w:t>
      </w:r>
      <w:r>
        <w:t xml:space="preserve">]</w:t>
      </w:r>
    </w:p>
    <w:p w:rsidR="003F3435" w:rsidRDefault="0032493E">
      <w:pPr>
        <w:spacing w:line="480" w:lineRule="auto"/>
        <w:ind w:firstLine="1440"/>
        <w:jc w:val="both"/>
      </w:pPr>
      <w:r>
        <w:t xml:space="preserve">(11)</w:t>
      </w:r>
      <w:r xml:space="preserve">
        <w:t> </w:t>
      </w:r>
      <w:r xml:space="preserve">
        <w:t> </w:t>
      </w:r>
      <w:r>
        <w:t xml:space="preserve">any history or pattern of family violence, as defined by Section 71.004</w:t>
      </w:r>
      <w:r>
        <w:rPr>
          <w:u w:val="single"/>
        </w:rPr>
        <w:t xml:space="preserve">;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intentional unemployment or underemployment of either spouse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actual income of either spouse is significantly less than what the spouse could earn because of intentional unemployment or underemployment, the court may determine the spouse's gross income based on the earning potential of the spouse.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determining whether a spouse is intentionally unemployed or underemployed, the court may consider evidence that the spouse is a veteran, as defined by 38 U.S.C. Section 101(2), who is seeking or has been awarded: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United States Department of Veterans Affairs disability benefits, as defined by 38 U.S.C. Section 101(16);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non-service-connected disability pension benefits, as defined by 38 U.S.C. Section 101(17).</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When appropriate, in order to determine the gross income available for maintenance, the court may assign a reasonable amount of deemed income attributable to assets that do not currently produce income.  The court shall also consider whether certain property that is not producing income can be liquidated without an unreasonable financial sacrifice because of cyclical or other market conditions. If there is no effective market for the property, the carrying costs of such an investment, including property taxes and note payments, shall be offset against the income attributed to the property.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court may assign a reasonable amount of deemed income to income-producing assets that a spouse has voluntarily transferred or on which earnings have intentionally been reduced.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8.057(a) and (c), Family Code, are amended to read as follows:</w:t>
      </w:r>
    </w:p>
    <w:p w:rsidR="003F3435" w:rsidRDefault="0032493E">
      <w:pPr>
        <w:spacing w:line="480" w:lineRule="auto"/>
        <w:ind w:firstLine="720"/>
        <w:jc w:val="both"/>
      </w:pPr>
      <w:r>
        <w:t xml:space="preserve">(a)</w:t>
      </w:r>
      <w:r xml:space="preserve">
        <w:t> </w:t>
      </w:r>
      <w:r xml:space="preserve">
        <w:t> </w:t>
      </w:r>
      <w:r>
        <w:t xml:space="preserve">The amount of maintenance specified in a court order or the portion of a decree that provides for the </w:t>
      </w:r>
      <w:r>
        <w:rPr>
          <w:u w:val="single"/>
        </w:rPr>
        <w:t xml:space="preserve">maintenance</w:t>
      </w:r>
      <w:r>
        <w:t xml:space="preserve"> [</w:t>
      </w:r>
      <w:r>
        <w:rPr>
          <w:strike/>
        </w:rPr>
        <w:t xml:space="preserve">support</w:t>
      </w:r>
      <w:r>
        <w:t xml:space="preserve">] of a former spouse may be </w:t>
      </w:r>
      <w:r>
        <w:rPr>
          <w:u w:val="single"/>
        </w:rPr>
        <w:t xml:space="preserve">modified</w:t>
      </w:r>
      <w:r>
        <w:t xml:space="preserve"> [</w:t>
      </w:r>
      <w:r>
        <w:rPr>
          <w:strike/>
        </w:rPr>
        <w:t xml:space="preserve">reduced</w:t>
      </w:r>
      <w:r>
        <w:t xml:space="preserve">] by the filing of a motion in the court that originally rendered the order. A party affected by the order or the portion of the decree to be modified may file the motion.</w:t>
      </w:r>
    </w:p>
    <w:p w:rsidR="003F3435" w:rsidRDefault="0032493E">
      <w:pPr>
        <w:spacing w:line="480" w:lineRule="auto"/>
        <w:ind w:firstLine="720"/>
        <w:jc w:val="both"/>
      </w:pPr>
      <w:r>
        <w:t xml:space="preserve">(c)</w:t>
      </w:r>
      <w:r xml:space="preserve">
        <w:t> </w:t>
      </w:r>
      <w:r xml:space="preserve">
        <w:t> </w:t>
      </w:r>
      <w:r>
        <w:t xml:space="preserve">After a hearing, the court may modify an original or modified order or portion of a decree providing for maintenance on a proper showing of a material and substantial change in circumstances </w:t>
      </w:r>
      <w:r>
        <w:rPr>
          <w:u w:val="single"/>
        </w:rPr>
        <w:t xml:space="preserve">that occurred after the date of the order or decree</w:t>
      </w:r>
      <w:r>
        <w:t xml:space="preserve">, including circumstances reflected in the factors specified in Section 8.052, relating to either party or to a child of the marriage described by Section 8.051(2)(C)[</w:t>
      </w:r>
      <w:r>
        <w:rPr>
          <w:strike/>
        </w:rPr>
        <w:t xml:space="preserve">, if applicable</w:t>
      </w:r>
      <w:r>
        <w:t xml:space="preserve">].  The court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shall apply the modification only to payment accruing after the filing of the motion to modify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increase maintenance to an amount or duration that exceeds the amount or remaining duration of the original maintenance order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changes in law made by this Act apply only to a suit for dissolution of marriage or a proceeding for maintenance that was commenced on or after the effective date of this Act.  A suit for dissolution of marriage or a proceeding for maintenance that was commenced before that date is governed by the law in effect on the date on which the suit or proceeding was commenced,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enactment of this Act does not by itself constitute a material and substantial change in circumstances sufficient under Section 8.057, Family Code, to warrant modification of a spousal maintenance order rendered before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