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It is an exception to the application of Section 821.102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uses a restraint on the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uses a restraint on the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uses a restraint on the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owner uses a restraint on the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owner leaves the dog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owner, or another person with the owner's permission, takes the dog from the owner's residence or property and restrains the dog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owner uses a restraint on the dog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