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876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Business &amp; Commerce; May</w:t>
      </w:r>
      <w:r xml:space="preserve">
        <w:t> </w:t>
      </w:r>
      <w:r>
        <w:t xml:space="preserve">10,</w:t>
      </w:r>
      <w:r xml:space="preserve">
        <w:t> </w:t>
      </w:r>
      <w:r>
        <w:t xml:space="preserve">2021, reported favorably by the following vote:</w:t>
      </w:r>
      <w:r>
        <w:t xml:space="preserve"> </w:t>
      </w:r>
      <w:r>
        <w:t xml:space="preserve"> </w:t>
      </w:r>
      <w:r>
        <w:t xml:space="preserve">Yeas 7,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fees charged by certain persons for the method used for payments made under an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116 to read as follows:</w:t>
      </w:r>
    </w:p>
    <w:p w:rsidR="003F3435" w:rsidRDefault="0032493E">
      <w:pPr>
        <w:spacing w:line="480" w:lineRule="auto"/>
        <w:jc w:val="center"/>
      </w:pPr>
      <w:r>
        <w:rPr>
          <w:u w:val="single"/>
        </w:rPr>
        <w:t xml:space="preserve">CHAPTER 116. FEES FOR CERTAIN PAYMENT METHODS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"Payee" means an individual who resides in this state or a corporation, trust, partnership, association, or other private legal entity authorized to do business in this state that receives money as payment under an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means an individual, corporation, trust, partnership, association, or other private legal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116.0002.</w:t>
      </w:r>
      <w:r>
        <w:rPr>
          <w:u w:val="single"/>
        </w:rPr>
        <w:t xml:space="preserve"> </w:t>
      </w:r>
      <w:r>
        <w:rPr>
          <w:u w:val="single"/>
        </w:rPr>
        <w:t xml:space="preserve"> </w:t>
      </w:r>
      <w:r>
        <w:rPr>
          <w:u w:val="single"/>
        </w:rPr>
        <w:t xml:space="preserve">FEE FOR CERTAIN PAYMENTS BY PAPER CHECK PROHIBITED.  (a) A person that makes a payment to a payee may not charge an additional fee to the payee because the payee elects to receive the payment by paper check instead of by an automated clearinghouse transaction or other electronic funds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a contract permitting a person to charge or collect a fee from a payee in violation of Subsection (a) is void and unenforceable.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 conflict between Section 116.0002(a), Business &amp; Commerce Code, as added by this Act, and a provision of a contract entered into before the effective date of this Act, the provision of the contract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