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87R451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local government regulations based on utility service type.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250, Local Government Code, is amended by adding Section 250.011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250.011.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REGULATIONS BASED ON TYPE OF UTILITY SERVICE.  (a)  A political subdivision requiring the issuance of a building permit may not deny a permit application based on the type of utility service provided to the project.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issuing a building permit shall ensure that all applicable permits and fees contain requirements and amounts that do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exceed the requirements and amounts for the use of other types of utility services;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have the effect of restricting a permit applicant's ability to use a specific type of utility service from a provider that is authorized to provide service.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ordinance, order, or other regulation adopted by a political subdivision may not restrict a person's ability to use a specific type of utility service from a provider that is authorized to provide service.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may not impose a fine, penalty, or other requirement based on type of utility service that has the effect of restricting a utility provider's authority to operate or serve customers.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affect the authority of a political subdivision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manage the public highways within the political subdivision's boundaries; or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exercise the political subdivision's police powers to review and approve an application before issuing a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