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87R16304 JRJ-D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Harris, Ellzey, Dominguez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885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885: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885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requirements for a junior college district to receive approval from the Texas Higher Education Coordinating Board to offer baccalaureate degree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130.307, Education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(b-1), a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public junior college may offer a baccalaureate degree program under this subchapter only if its junior college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had a taxable property valuation amount of not less than $6 billion in the preceding year;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received a positive assessment of the overall financial health of the district as reported by the coordinating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requirement of Subsection (b)(1) does not apply to a nursing degree program offered by Navarro College and approved under Section 130.308.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885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