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87R1167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air quality permits issued by the Texas Commission on Environmental Quality for certain oil and gas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382, Health and Safety Code, is amended by adding Section 382.051965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382.051965.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INSPECTION AND MAINTENANCE REQUIREMENTS FOR OIL AND GAS FACILITIES.  (a)  A permit by rule or a standard permit relating to a facility described by Section 382.051961(a) must require: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permit holder of a new facility or an existing facility that has been modified to establish a quarterly inspection and maintenance program for the detection and repair of leaks from all valves, pump seals, flanges, compressor seals, pressure relief valves, open-ended lines, tanks, and other process and operation components of the facility that could result in fugitive emissions;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new facility, a prohibition on the use of venting and limitations on the use of flaring;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 existing facility that has been modified, the elimination of the use of venting and a reduction in the use of flaring;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limitations on emissions of volatile organic compounds from storage tanks that have the potential to emit more than one ton of volatile organic compounds per year;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limitations on emissions of nitrogen oxides from compressor engines with more than 100 horsepower;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maintenance protocols and best practices for compressor stations;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use and maintenance of no-bleed and low-bleed pneumatic devices and controllers between a wellhead and a natural gas processing plant and the monitoring of emissions from those devices.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program described by Subsection (a)(1) must require the use of leak detection equipment such as optical gas imaging cameras.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adopting rules to implement this section, the commission may consider: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applying different standards to new facilities and facilities that have been modified;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using incentives to encourage the use of best practices at facilities subject to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June 1, 2022, the Texas Commission on Environmental Quality shall adopt rules as necessary to implement Section 382.051965, Health and Safety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