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87R1021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a licensing authority from taking disciplinary action against certain license holders for violating an emergency management plan or a rule, order, or ordinance issued  under the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418, Government Code, is amended by adding Section 418.1731 to reads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418.1731.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ACTION AGAINST LICENSE HOLDER PROHIBITED.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"License" means a license, registration, certificate, permit, or other authorization issued by a licensing authority that a person must obtain to practice or engage in a particular business, occupation, or profession.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"Licensing authority" means a department, commission, board, office, or other agency of the state that issues a license.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licensing authority may not revoke, suspend, or refuse to renew a license, reprimand a license holder, impose an administrative penalty on a license holder, or take any other disciplinary action against a license holder based on the license holder's failure to comply with a state, local, or interjurisdictional emergency management plan or with a rule, order, or ordinance adopted under the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