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87R2306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liability of a landlord for damages resulting from the execution of a writ of possession in an eviction suit.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24.0061, Property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landlord is not liable for damages to the tenant resulting from the execution of a writ of possession by an officer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24.0061(i), Property Code, as added by this Act, applies only to the execution of a writ of possession issued in an eviction suit filed on or after the effective date of this Act. Execution of a writ of possession issued in an eviction suit filed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