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900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6,</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1;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liability of a landlord for damages resulting from the execution of a writ of possession in an eviction suit.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24.0061, Property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landlord is not liable for damages to the tenant resulting from the execution of a writ of possession by an officer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24.0061(i), Property Code, as added by this Act, applies only to the execution of a writ of possession issued in an eviction suit filed on or after the effective date of this Act. Execution of a writ of possession issued in an eviction suit filed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