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 authorization for prescription drug benefits related to the treatment of chronic and autoimmune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COVERAGE OF PRESCRIPTION DRUGS FOR CHRONIC AND AUTOIMMUNE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  In this subchapter, "prescription drug" 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surgical, or prescription drug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EXCEPTIONS.  (a)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1369.552.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PROHIBITION ON PRIOR AUTHORIZATION.  A health benefit plan issuer that provides prescription drug benefits may not require prior authorization of the prescription drug benefit for a prescription drug prescribed to treat a chronic or autoimmune disease.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