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87R3388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 Buckley, Schaefer, Ellzey,</w:t>
      </w:r>
      <w:r xml:space="preserve">
        <w:tab wTab="150" tlc="none" cTlc="0"/>
      </w:r>
      <w:r>
        <w:t xml:space="preserve">H.B.</w:t>
      </w:r>
      <w:r xml:space="preserve">
        <w:t> </w:t>
      </w:r>
      <w:r>
        <w:t xml:space="preserve">No.</w:t>
      </w:r>
      <w:r xml:space="preserve">
        <w:t> </w:t>
      </w:r>
      <w:r>
        <w:t xml:space="preserve">911</w:t>
      </w:r>
    </w:p>
    <w:p w:rsidR="003F3435" w:rsidRDefault="0032493E">
      <w:pPr>
        <w:jc w:val="both"/>
      </w:pPr>
      <w:r xml:space="preserve">
        <w:t> </w:t>
      </w:r>
      <w:r xml:space="preserve">
        <w:t> </w:t>
      </w:r>
      <w:r xml:space="preserve">
        <w:t> </w:t>
      </w:r>
      <w:r xml:space="preserve">
        <w:t> </w:t>
      </w:r>
      <w:r xml:space="preserve">
        <w:t> </w:t>
      </w:r>
      <w:r>
        <w:t xml:space="preserve">Morales of Maverick</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specially marked driver's licenses and personal identification certificates to veterans.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521.102, Transportation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shall establish and maintain on the department's Internet website forms and procedures by which a veteran or disabled veteran may request and provide the proof required for a designation on a personal identification certificate or renewal of a personal identification certificate with a designation under this section by submitting a form and the required proof electronically on the department's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521.1235, Transportation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shall establish and maintain on the department's Internet website forms and procedures by which a veteran or disabled veteran may request and provide the proof required for a designation on a driver's license or renewal of a driver's license with a designation under this section by submitting a form and the required proof electronically on the department's Internet website.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January 1, 2022, the Department of Public Safety of the State of Texas shall establish and maintain on the department's Internet website the forms and procedures required by Sections 521.102(g) and 521.1235(g), Transportation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