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White, Slawson, Hefner, Schaefer,</w:t>
      </w:r>
      <w:r xml:space="preserve">
        <w:tab wTab="150" tlc="none" cTlc="0"/>
      </w:r>
      <w:r>
        <w:t xml:space="preserve">H.B.</w:t>
      </w:r>
      <w:r xml:space="preserve">
        <w:t> </w:t>
      </w:r>
      <w:r>
        <w:t xml:space="preserve">No.</w:t>
      </w:r>
      <w:r xml:space="preserve">
        <w:t> </w:t>
      </w:r>
      <w:r>
        <w:t xml:space="preserve">918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license to carry a handgun for certain young adults who are protected under certain court orders related to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411.172,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(a)(2), a person who is at least 18 years of age but not yet 21 years of age is eligible for a license to carry a handgun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protected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active protective order issued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Title 4,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Subchapter A, Chapter 7B, Code of Criminal Procedure;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active magistrate's order for emergency protection under Article 17.292,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other eligibility requirements of Subsection (a) except for the minimum age required by federal law to purchase a handgun.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411, Government Code, is amended by adding Section 411.1735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411.1735.</w:t>
      </w:r>
      <w:r>
        <w:rPr>
          <w:u w:val="single"/>
        </w:rPr>
        <w:t xml:space="preserve"> </w:t>
      </w:r>
      <w:r>
        <w:rPr>
          <w:u w:val="single"/>
        </w:rPr>
        <w:t xml:space="preserve"> </w:t>
      </w:r>
      <w:r>
        <w:rPr>
          <w:u w:val="single"/>
        </w:rPr>
        <w:t xml:space="preserve">PROTECTIVE ORDER DESIGNATION.  (a) </w:t>
      </w:r>
      <w:r>
        <w:rPr>
          <w:u w:val="single"/>
        </w:rPr>
        <w:t xml:space="preserve"> </w:t>
      </w:r>
      <w:r>
        <w:rPr>
          <w:u w:val="single"/>
        </w:rPr>
        <w:t xml:space="preserve">Notwithstanding any other provision of this subchapter, a person who establishes eligibility for a license to carry a handgun under Section 411.172(i) may only hold a license under this subchapter that bears a protective order designation on the face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this section must submit a copy of the applicable court order described by Section 411.172(i)(1) with the application materials described by Section 411.174.  The person's application is not considered complete for purposes of this subchapter unless the application includes the documentation and materials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411.183, a license that bears a protective order designation under this section is valid only until the date on which the applicable court order described by Section 411.172(i)(1) is rescinded or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holder of a license with a protective order designation under this section who becomes 21 years of age may apply for a license under this subchapter that does not bear the designation by using the renewal procedure under Section 411.185, regardless of whether the license that bears the designation has expired or is about to expire.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shall adopt rules establishing a process by which the department periodically verifies a license holder's eligibility for a license to carry a handgun under Section 411.172(i) if the license holder's license bears a protective order designation under this section. The rules may specify different intervals at which the department must verify the license holder's eligibility based on the court order used to satisfy the eligibility requirement described by Section 411.172(i)(1).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w:t>
      </w:r>
      <w:r>
        <w:t xml:space="preserve"> </w:t>
      </w:r>
      <w:r>
        <w:t xml:space="preserve">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applicable, a protective order designation under Section 411.1735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LICENSE.  If a license holder is carrying a handgun on or about the license holder's person when a magistrate or a peace officer demands that the license holder display identification, the license holder shall display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both the license holder's driver's license or identification certificate issued by the department and the license holder's handgun license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license holder's handgun license bears a protective order designation, a copy of the applicable court order under which the license holder is protected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Subchapter H, Chapter 411, Government Code, apply only to a completed application for a license to carry a handgun that is received by the Department of Public Safety of the State of Texas on or after the effective date of this Act.  A completed application received before the effective date of this Act is governed by the law in effect on the date the application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