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87R2647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919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certain federal laws regulating firearms, firearm accessories, and firearm ammunition within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8, Penal Code, is amended by adding Chapter 40 to read as follows:</w:t>
      </w:r>
    </w:p>
    <w:p w:rsidR="003F3435" w:rsidRDefault="0032493E">
      <w:pPr>
        <w:spacing w:line="480" w:lineRule="auto"/>
        <w:jc w:val="center"/>
      </w:pPr>
      <w:r>
        <w:rPr>
          <w:u w:val="single"/>
        </w:rPr>
        <w:t xml:space="preserve">CHAPTER 40. </w:t>
      </w:r>
      <w:r>
        <w:rPr>
          <w:u w:val="single"/>
        </w:rPr>
        <w:t xml:space="preserve"> </w:t>
      </w:r>
      <w:r>
        <w:rPr>
          <w:u w:val="single"/>
        </w:rPr>
        <w:t xml:space="preserve">THE TEXAS FIREARM PROTECTION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"Firearm" has the meaning assigned by Section 46.01.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accessory" means an item that is used in conjunction with or mounted on a firearm but is not essential to the basic function of the firearm.  The term includes a detachable firearm magazine.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40.02.</w:t>
      </w:r>
      <w:r>
        <w:rPr>
          <w:u w:val="single"/>
        </w:rPr>
        <w:t xml:space="preserve"> </w:t>
      </w:r>
      <w:r>
        <w:rPr>
          <w:u w:val="single"/>
        </w:rPr>
        <w:t xml:space="preserve"> </w:t>
      </w:r>
      <w:r>
        <w:rPr>
          <w:u w:val="single"/>
        </w:rPr>
        <w:t xml:space="preserve">STATE AND LOCAL GOVERNMENT POLICY REGARDING ENFORCEMENT OF FEDERAL FIREARM LAWS. </w:t>
      </w:r>
      <w:r>
        <w:rPr>
          <w:u w:val="single"/>
        </w:rPr>
        <w:t xml:space="preserve"> </w:t>
      </w:r>
      <w:r>
        <w:rPr>
          <w:u w:val="single"/>
        </w:rPr>
        <w:t xml:space="preserve">(a) </w:t>
      </w:r>
      <w:r>
        <w:rPr>
          <w:u w:val="single"/>
        </w:rPr>
        <w:t xml:space="preserve"> </w:t>
      </w:r>
      <w:r>
        <w:rPr>
          <w:u w:val="single"/>
        </w:rPr>
        <w:t xml:space="preserve">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of Texas, including an agency, department, commission, bureau, board, office, council, court, or other entity that is in any branch of state government and that is created by the constitution or a statute of this state, including a university system or a system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a municipality, county, or special district or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officer, employee, or other body that is part of a municipality, county, or special district or authority, including a sheriff, municipal police department, municipal attorney, or county attorney;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district attorney or criminal district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described by Subsection (a) may not adopt a rule, order, ordinance, or policy under which the entity enforces, or by consistent action allows the enforcement of, a federal statute, order, rule, or regulation enacted on or after September 1, 2021, that purports to regulate a firearm, a firearm accessory, or firearm ammunition if the statute, order, rule, or regulation imposes a prohibition, restriction, or other regulation, such as a capacity or size limitation, a registration requirement, or a background check, that does not exist under the laws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 entity described by Subsection (a) and no person employed by or otherwise under the direction or control of the entity may enforce or attempt to enforce any federal statute, order, rule, or regulation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entity described by Subsection (a) may not receive state grant funds if the entity adopts a rule, order, ordinance, or policy under which the entity enforces any federal law described by Subsection (b) or, by consistent actions, allows the enforcement of any federal law described by Subsection (b). </w:t>
      </w:r>
      <w:r>
        <w:rPr>
          <w:u w:val="single"/>
        </w:rPr>
        <w:t xml:space="preserve"> </w:t>
      </w:r>
      <w:r>
        <w:rPr>
          <w:u w:val="single"/>
        </w:rPr>
        <w:t xml:space="preserve">State grant funds for the entity shall be denied for the fiscal year following the year in which a final judicial determination in an action brought under this section is made that the entity has violated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citizen residing in the jurisdiction of an entity described by Subsection (a) may file a complaint with the attorney general if the citizen offers evidence to support an allegation that the entity has adopted a rule, order, ordinance, or policy under which the entity enforces a federal law described by Subsection (b) or an allegation that the entity, by consistent actions, allows the enforcement of a federal law described by Subsection (b). </w:t>
      </w:r>
      <w:r>
        <w:rPr>
          <w:u w:val="single"/>
        </w:rPr>
        <w:t xml:space="preserve"> </w:t>
      </w:r>
      <w:r>
        <w:rPr>
          <w:u w:val="single"/>
        </w:rPr>
        <w:t xml:space="preserve">The citizen must include with the complaint any evidence the citizen has in support of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attorney general determines that a complaint filed under Subsection (e) against an entity described by Subsection (a) is valid, to compel the entity's compliance with this section the attorney general may file a petition for a writ of mandamus or apply for other appropriate equitable relief in a district court in Travis County or in a county in which the principal office of the entity is located. </w:t>
      </w:r>
      <w:r>
        <w:rPr>
          <w:u w:val="single"/>
        </w:rPr>
        <w:t xml:space="preserve"> </w:t>
      </w:r>
      <w:r>
        <w:rPr>
          <w:u w:val="single"/>
        </w:rPr>
        <w:t xml:space="preserve">The attorney general may recover reasonable expenses incurred in obtaining relief under this subsection, including court costs, reasonable attorney's fees, investigative costs, witness fees, and deposition costs.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appeal of a suit brought under Subsection (f) is governed by the procedures for accelerated appeals in civil cases under the Texas Rules of Appellate Procedure. </w:t>
      </w:r>
      <w:r>
        <w:rPr>
          <w:u w:val="single"/>
        </w:rPr>
        <w:t xml:space="preserve"> </w:t>
      </w:r>
      <w:r>
        <w:rPr>
          <w:u w:val="single"/>
        </w:rPr>
        <w:t xml:space="preserve">The  appellate court shall render its final order or judgment with the least possible delay.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