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87R4639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921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of defendants on bail.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 Code of Criminal Procedure, is amended by adding Articles 17.027 and 17.028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17.027.</w:t>
      </w:r>
      <w:r>
        <w:rPr>
          <w:u w:val="single"/>
        </w:rPr>
        <w:t xml:space="preserve"> </w:t>
      </w:r>
      <w:r>
        <w:rPr>
          <w:u w:val="single"/>
        </w:rPr>
        <w:t xml:space="preserve"> </w:t>
      </w:r>
      <w:r>
        <w:rPr>
          <w:u w:val="single"/>
        </w:rPr>
        <w:t xml:space="preserve">BAIL DECISION.  (a) </w:t>
      </w:r>
      <w:r>
        <w:rPr>
          <w:u w:val="single"/>
        </w:rPr>
        <w:t xml:space="preserve"> </w:t>
      </w:r>
      <w:r>
        <w:rPr>
          <w:u w:val="single"/>
        </w:rPr>
        <w:t xml:space="preserve">Unless the defendant has been released, if a defendant is not released on personal bond in accordance with a standing order adopted by the judges of the criminal courts trying cases in that county, without unnecessary delay but not later than 48 hours after a defendant is arrested, a magistrate shall order at a proceeding open to the public that the defendant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released on personal bond or monetary bail bond without conditions;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released on personal bond or monetary bail bond with any condition the magistrate determines necessary;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denied bail in accordance with this chapter and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a bail decision under this article, the magistrate shall impose, as applicable, the least restrictive conditions and minimum amount of bail, whether personal bond or monetary bail bond, necessary to reasonably ensure the defendant's appearance in court as required and the safety of the community and the victim of the alleged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imposing a monetary bail bond under Subsection (b), the magistrate shall make a written finding that the defendant is able to pay the amount to be imposed. </w:t>
      </w:r>
      <w:r>
        <w:rPr>
          <w:u w:val="single"/>
        </w:rPr>
        <w:t xml:space="preserve"> </w:t>
      </w:r>
      <w:r>
        <w:rPr>
          <w:u w:val="single"/>
        </w:rPr>
        <w:t xml:space="preserve">The finding must state the information on which the magistrate relied.  The Office of Court Administration of the Texas Judicial System shall promulgate a form for this purpose and make it available to magistrates at no cost.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bail decision made under this article must be based on clear and convincing evidence.  The defendant must be permitted an opportunity to present and rebut evidence relevant to the decision.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17.028.</w:t>
      </w:r>
      <w:r>
        <w:rPr>
          <w:u w:val="single"/>
        </w:rPr>
        <w:t xml:space="preserve"> </w:t>
      </w:r>
      <w:r>
        <w:rPr>
          <w:u w:val="single"/>
        </w:rPr>
        <w:t xml:space="preserve"> </w:t>
      </w:r>
      <w:r>
        <w:rPr>
          <w:u w:val="single"/>
        </w:rPr>
        <w:t xml:space="preserve">PRETRIAL NOTICE SYSTEM.  The judges of the criminal courts trying cases in a county may adopt a pretrial notice system under which defendants are periodically notified of the date, time, and location of future court appearances.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17.15, Code of Criminal Procedure, is amended to read as follows:</w:t>
      </w:r>
    </w:p>
    <w:p w:rsidR="003F3435" w:rsidRDefault="0032493E">
      <w:pPr>
        <w:spacing w:line="480" w:lineRule="auto"/>
        <w:ind w:firstLine="720"/>
        <w:jc w:val="both"/>
      </w:pPr>
      <w:r>
        <w:t xml:space="preserve">Art.</w:t>
      </w:r>
      <w:r xml:space="preserve">
        <w:t> </w:t>
      </w:r>
      <w:r>
        <w:t xml:space="preserve">17.15.</w:t>
      </w:r>
      <w:r xml:space="preserve">
        <w:t> </w:t>
      </w:r>
      <w:r xml:space="preserve">
        <w:t> </w:t>
      </w:r>
      <w:r>
        <w:t xml:space="preserve">RULES FOR </w:t>
      </w:r>
      <w:r>
        <w:rPr>
          <w:u w:val="single"/>
        </w:rPr>
        <w:t xml:space="preserve">SETTING</w:t>
      </w:r>
      <w:r>
        <w:t xml:space="preserve"> [</w:t>
      </w:r>
      <w:r>
        <w:rPr>
          <w:strike/>
        </w:rPr>
        <w:t xml:space="preserve">FIXING</w:t>
      </w:r>
      <w:r>
        <w:t xml:space="preserve">] AMOUNT OF BAIL.  </w:t>
      </w:r>
      <w:r>
        <w:rPr>
          <w:u w:val="single"/>
        </w:rPr>
        <w:t xml:space="preserve">(a)</w:t>
      </w:r>
      <w:r>
        <w:t xml:space="preserve"> </w:t>
      </w:r>
      <w:r>
        <w:t xml:space="preserve"> </w:t>
      </w:r>
      <w:r>
        <w:t xml:space="preserve">The amount of bail to be required in any case is to be regulated by the court, judge, magistrate</w:t>
      </w:r>
      <w:r>
        <w:rPr>
          <w:u w:val="single"/>
        </w:rPr>
        <w:t xml:space="preserve">,</w:t>
      </w:r>
      <w:r>
        <w:t xml:space="preserve"> or officer taking the bail </w:t>
      </w:r>
      <w:r>
        <w:rPr>
          <w:u w:val="single"/>
        </w:rPr>
        <w:t xml:space="preserve">and is</w:t>
      </w:r>
      <w:r>
        <w:t xml:space="preserve"> [</w:t>
      </w:r>
      <w:r>
        <w:rPr>
          <w:strike/>
        </w:rPr>
        <w:t xml:space="preserve">; they are to be</w:t>
      </w:r>
      <w:r>
        <w:t xml:space="preserve">] governed [</w:t>
      </w:r>
      <w:r>
        <w:rPr>
          <w:strike/>
        </w:rPr>
        <w:t xml:space="preserve">in the exercise of this discretion</w:t>
      </w:r>
      <w:r>
        <w:t xml:space="preserve">] by the Constitution and [</w:t>
      </w:r>
      <w:r>
        <w:rPr>
          <w:strike/>
        </w:rPr>
        <w:t xml:space="preserve">by</w:t>
      </w:r>
      <w:r>
        <w:t xml:space="preserve">] the following rules:</w:t>
      </w:r>
    </w:p>
    <w:p w:rsidR="003F3435" w:rsidRDefault="0032493E">
      <w:pPr>
        <w:spacing w:line="480" w:lineRule="auto"/>
        <w:ind w:firstLine="1440"/>
        <w:jc w:val="both"/>
      </w:pPr>
      <w:r>
        <w:rPr>
          <w:u w:val="single"/>
        </w:rPr>
        <w:t xml:space="preserve">(1)</w:t>
      </w:r>
      <w:r xml:space="preserve">
        <w:t> </w:t>
      </w:r>
      <w:r>
        <w:t xml:space="preserve">[</w:t>
      </w:r>
      <w:r>
        <w:rPr>
          <w:strike/>
        </w:rPr>
        <w:t xml:space="preserve">1.</w:t>
      </w:r>
      <w:r>
        <w:t xml:space="preserve">]</w:t>
      </w:r>
      <w:r xml:space="preserve">
        <w:t> </w:t>
      </w:r>
      <w:r xml:space="preserve">
        <w:t> </w:t>
      </w:r>
      <w:r>
        <w:t xml:space="preserve">The bail shall be sufficiently high to give reasonable assurance that the undertaking will be complied with.</w:t>
      </w:r>
    </w:p>
    <w:p w:rsidR="003F3435" w:rsidRDefault="0032493E">
      <w:pPr>
        <w:spacing w:line="480" w:lineRule="auto"/>
        <w:ind w:firstLine="1440"/>
        <w:jc w:val="both"/>
      </w:pPr>
      <w:r>
        <w:rPr>
          <w:u w:val="single"/>
        </w:rPr>
        <w:t xml:space="preserve">(2)</w:t>
      </w:r>
      <w:r xml:space="preserve">
        <w:t> </w:t>
      </w:r>
      <w:r>
        <w:t xml:space="preserve">[</w:t>
      </w:r>
      <w:r>
        <w:rPr>
          <w:strike/>
        </w:rPr>
        <w:t xml:space="preserve">2.</w:t>
      </w:r>
      <w:r>
        <w:t xml:space="preserve">]</w:t>
      </w:r>
      <w:r xml:space="preserve">
        <w:t> </w:t>
      </w:r>
      <w:r xml:space="preserve">
        <w:t> </w:t>
      </w:r>
      <w:r>
        <w:t xml:space="preserve">The power to require bail is not to be so used as to make it an instrument of oppression.</w:t>
      </w:r>
    </w:p>
    <w:p w:rsidR="003F3435" w:rsidRDefault="0032493E">
      <w:pPr>
        <w:spacing w:line="480" w:lineRule="auto"/>
        <w:ind w:firstLine="1440"/>
        <w:jc w:val="both"/>
      </w:pPr>
      <w:r>
        <w:rPr>
          <w:u w:val="single"/>
        </w:rPr>
        <w:t xml:space="preserve">(3)</w:t>
      </w:r>
      <w:r xml:space="preserve">
        <w:t> </w:t>
      </w:r>
      <w:r>
        <w:t xml:space="preserve">[</w:t>
      </w:r>
      <w:r>
        <w:rPr>
          <w:strike/>
        </w:rPr>
        <w:t xml:space="preserve">3.</w:t>
      </w:r>
      <w:r>
        <w:t xml:space="preserve">]</w:t>
      </w:r>
      <w:r xml:space="preserve">
        <w:t> </w:t>
      </w:r>
      <w:r xml:space="preserve">
        <w:t> </w:t>
      </w:r>
      <w:r>
        <w:t xml:space="preserve">The nature of the offense</w:t>
      </w:r>
      <w:r>
        <w:rPr>
          <w:u w:val="single"/>
        </w:rPr>
        <w:t xml:space="preserve">,</w:t>
      </w:r>
      <w:r>
        <w:t xml:space="preserve"> [</w:t>
      </w:r>
      <w:r>
        <w:rPr>
          <w:strike/>
        </w:rPr>
        <w:t xml:space="preserve">and</w:t>
      </w:r>
      <w:r>
        <w:t xml:space="preserve">] the circumstances under which </w:t>
      </w:r>
      <w:r>
        <w:rPr>
          <w:u w:val="single"/>
        </w:rPr>
        <w:t xml:space="preserve">the offense</w:t>
      </w:r>
      <w:r>
        <w:t xml:space="preserve"> [</w:t>
      </w:r>
      <w:r>
        <w:rPr>
          <w:strike/>
        </w:rPr>
        <w:t xml:space="preserve">it</w:t>
      </w:r>
      <w:r>
        <w:t xml:space="preserve">] was committed</w:t>
      </w:r>
      <w:r>
        <w:rPr>
          <w:u w:val="single"/>
        </w:rPr>
        <w:t xml:space="preserve">, and the defendant's criminal history, including any prior offenses involving peace officers or family violence,</w:t>
      </w:r>
      <w:r>
        <w:t xml:space="preserve"> are to be considered.</w:t>
      </w:r>
    </w:p>
    <w:p w:rsidR="003F3435" w:rsidRDefault="0032493E">
      <w:pPr>
        <w:spacing w:line="480" w:lineRule="auto"/>
        <w:ind w:firstLine="1440"/>
        <w:jc w:val="both"/>
      </w:pPr>
      <w:r>
        <w:rPr>
          <w:u w:val="single"/>
        </w:rPr>
        <w:t xml:space="preserve">(4)</w:t>
      </w:r>
      <w:r xml:space="preserve">
        <w:t> </w:t>
      </w:r>
      <w:r>
        <w:t xml:space="preserve">[</w:t>
      </w:r>
      <w:r>
        <w:rPr>
          <w:strike/>
        </w:rPr>
        <w:t xml:space="preserve">4.</w:t>
      </w:r>
      <w:r>
        <w:t xml:space="preserve">]</w:t>
      </w:r>
      <w:r xml:space="preserve">
        <w:t> </w:t>
      </w:r>
      <w:r xml:space="preserve">
        <w:t> </w:t>
      </w:r>
      <w:r>
        <w:t xml:space="preserve">The ability to make bail is to be </w:t>
      </w:r>
      <w:r>
        <w:rPr>
          <w:u w:val="single"/>
        </w:rPr>
        <w:t xml:space="preserve">considered</w:t>
      </w:r>
      <w:r>
        <w:t xml:space="preserve"> [</w:t>
      </w:r>
      <w:r>
        <w:rPr>
          <w:strike/>
        </w:rPr>
        <w:t xml:space="preserve">regarded</w:t>
      </w:r>
      <w:r>
        <w:t xml:space="preserve">], and proof may be taken upon this point.</w:t>
      </w:r>
    </w:p>
    <w:p w:rsidR="003F3435" w:rsidRDefault="0032493E">
      <w:pPr>
        <w:spacing w:line="480" w:lineRule="auto"/>
        <w:ind w:firstLine="1440"/>
        <w:jc w:val="both"/>
      </w:pPr>
      <w:r>
        <w:rPr>
          <w:u w:val="single"/>
        </w:rPr>
        <w:t xml:space="preserve">(5)</w:t>
      </w:r>
      <w:r xml:space="preserve">
        <w:t> </w:t>
      </w:r>
      <w:r>
        <w:t xml:space="preserve">[</w:t>
      </w:r>
      <w:r>
        <w:rPr>
          <w:strike/>
        </w:rPr>
        <w:t xml:space="preserve">5.</w:t>
      </w:r>
      <w:r>
        <w:t xml:space="preserve">]</w:t>
      </w:r>
      <w:r xml:space="preserve">
        <w:t> </w:t>
      </w:r>
      <w:r xml:space="preserve">
        <w:t> </w:t>
      </w:r>
      <w:r>
        <w:t xml:space="preserve">The future safety of a victim of the alleged offense and the community shall be considered.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article, "family violence" has the meaning assigned by Section 71.004, Family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17, Code of Criminal Procedure, is amended by adding Article 17.1501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17.1501.</w:t>
      </w:r>
      <w:r>
        <w:rPr>
          <w:u w:val="single"/>
        </w:rPr>
        <w:t xml:space="preserve"> </w:t>
      </w:r>
      <w:r>
        <w:rPr>
          <w:u w:val="single"/>
        </w:rPr>
        <w:t xml:space="preserve"> </w:t>
      </w:r>
      <w:r>
        <w:rPr>
          <w:u w:val="single"/>
        </w:rPr>
        <w:t xml:space="preserve">BAIL SCHEDULE; RELEASE OF DEFENDANT. </w:t>
      </w:r>
      <w:r>
        <w:rPr>
          <w:u w:val="single"/>
        </w:rPr>
        <w:t xml:space="preserve"> </w:t>
      </w:r>
      <w:r>
        <w:rPr>
          <w:u w:val="single"/>
        </w:rPr>
        <w:t xml:space="preserve">(a) </w:t>
      </w:r>
      <w:r>
        <w:rPr>
          <w:u w:val="single"/>
        </w:rPr>
        <w:t xml:space="preserve"> </w:t>
      </w:r>
      <w:r>
        <w:rPr>
          <w:u w:val="single"/>
        </w:rPr>
        <w:t xml:space="preserve">The judges of the criminal courts trying cases in a county may promulgate a standing order setting out a schedule of suggested amounts for monetary bail bonds for any offense over which the courts have jurisdiction under Chapter 4. </w:t>
      </w:r>
      <w:r>
        <w:rPr>
          <w:u w:val="single"/>
        </w:rPr>
        <w:t xml:space="preserve"> </w:t>
      </w:r>
      <w:r>
        <w:rPr>
          <w:u w:val="single"/>
        </w:rPr>
        <w:t xml:space="preserve">In promulgating the order, judges shall consider factors such as judicial efficiency, public safety, the severity of the offense, and the use of criminal history record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defendant who is charged with an offense for which a bail schedule has been established under Subsection (a) may waive the defendant's right to appear before a magistrate under Article 15.17 and be released from custody on giving a monetary bail bond in the amount required by the schedule.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