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87R3373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 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in this state on August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 except to the extent the individual receives an additional subsidy under Section 540.0053 to pay the copayments.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