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inspection procedures in and a legislative oversight committee for certain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247.027,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or employee of an assisted living facility may require a commission inspector who is a licensed health care professional to provide proof of licensure before the inspector conducts an inspection of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commission inspector shall include on the commission's inspection checklist: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description of the evidence supporting each cited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title of the person who discovered each cited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ensure that among the commission's community services regions the commission uniformly administers inspections and consistently interprets and enforces the laws and rules regulating assisted living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and deliver a semiannual progress report on uniform administration, interpretation, and enforcement to appropriate health and human services legislative standing committees.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247.0271, Health and Safety Code, is amended by adding Subsections (c-1)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inspector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additional inspection during an additional exit conference;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 additional exit conference to retaliate against an assisted living facility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a complaint against the commission or the inspector regarding an inspection;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requesting an administrative hearing to contest a cited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inspector may not require an assisted living facility, through an inspection or the final official statement of violations, to take any action that conflicts with a written order of a physician. </w:t>
      </w:r>
      <w:r>
        <w:rPr>
          <w:u w:val="single"/>
        </w:rPr>
        <w:t xml:space="preserve"> </w:t>
      </w:r>
      <w:r>
        <w:rPr>
          <w:u w:val="single"/>
        </w:rPr>
        <w:t xml:space="preserve">A facility in the facility's plan of correction shall provide evidence that the statement of violations conflicts with the physician's written order. </w:t>
      </w:r>
      <w:r>
        <w:rPr>
          <w:u w:val="single"/>
        </w:rPr>
        <w:t xml:space="preserve"> </w:t>
      </w:r>
      <w:r>
        <w:rPr>
          <w:u w:val="single"/>
        </w:rPr>
        <w:t xml:space="preserve">A facility is not required to correct a violation that conflicts with the physician's written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252.040, Health and Safety Code, is amended by amending Subsection (i) and adding Subsections (j) and (k) to read as follows:</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have specialized staff conduct inspections, surveys, or investigations of facilities under this section. </w:t>
      </w:r>
      <w:r>
        <w:t xml:space="preserve"> </w:t>
      </w:r>
      <w:r>
        <w:rPr>
          <w:u w:val="single"/>
        </w:rPr>
        <w:t xml:space="preserve">An officer or employee of a facility may require a commission representative who is a licensed health care professional to provide proof of licensure before the representative conducts an inspection, survey, or investigation of the facility.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or the commission's representative shall include on the commission's inspection 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description of the evidence supporting each cited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title of the person who discovered each cited violation.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ensure that among the commission's community services regions the commission uniformly administers inspections, surveys, and investigations and consistently interprets and enforces the laws and rules regulating facilities licensed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and deliver a semiannual progress report on uniform administration, interpretation, and enforcement to the appropriate health and human services legislative standing committees.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252.044, Health and Safety Code, is amended by adding Subsections (b-1) and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or the commission's representative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additional inspection, survey, or investigation during an additional exit conference;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 additional exit conference to retaliate against a facility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a complaint against the commission or the commission's representative regarding an inspection, survey, or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requesting an administrative hearing to contest a cited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or the commission's representative may not require a facility, through an inspection, survey, or investigation or the final official statement of violations, to take any action that conflicts with a written order of a physician. </w:t>
      </w:r>
      <w:r>
        <w:rPr>
          <w:u w:val="single"/>
        </w:rPr>
        <w:t xml:space="preserve"> </w:t>
      </w:r>
      <w:r>
        <w:rPr>
          <w:u w:val="single"/>
        </w:rPr>
        <w:t xml:space="preserve">A facility in the facility's plan to correct violations shall provide evidence that the statement of violations conflicts with the physician's written order. </w:t>
      </w:r>
      <w:r>
        <w:rPr>
          <w:u w:val="single"/>
        </w:rPr>
        <w:t xml:space="preserve"> </w:t>
      </w:r>
      <w:r>
        <w:rPr>
          <w:u w:val="single"/>
        </w:rPr>
        <w:t xml:space="preserve">A facility is not required to correct a violation that conflicts with the physician's written order.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531, Government Code, is amended by adding Subchapter E-1 to read as follows:</w:t>
      </w:r>
    </w:p>
    <w:p w:rsidR="003F3435" w:rsidRDefault="0032493E">
      <w:pPr>
        <w:spacing w:line="480" w:lineRule="auto"/>
        <w:jc w:val="center"/>
      </w:pPr>
      <w:r>
        <w:rPr>
          <w:u w:val="single"/>
        </w:rPr>
        <w:t xml:space="preserve">SUBCHAPTER E-1.  LONG-TERM CARE LEGISLATIVE OVERSIGHT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long-term care legislative oversight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facility licensed under Chapter 242,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assisted living facility licensed under Chapter 247, Health and Safety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intermediate care facility licensed under Chapter 252,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531.182.</w:t>
      </w:r>
      <w:r>
        <w:rPr>
          <w:u w:val="single"/>
        </w:rPr>
        <w:t xml:space="preserve"> </w:t>
      </w:r>
      <w:r>
        <w:rPr>
          <w:u w:val="single"/>
        </w:rPr>
        <w:t xml:space="preserve"> </w:t>
      </w:r>
      <w:r>
        <w:rPr>
          <w:u w:val="single"/>
        </w:rPr>
        <w:t xml:space="preserve">COMPOSITION OF COMMITTEE; PRESIDING OFFICER. </w:t>
      </w:r>
      <w:r>
        <w:rPr>
          <w:u w:val="single"/>
        </w:rPr>
        <w:t xml:space="preserve"> </w:t>
      </w:r>
      <w:r>
        <w:rPr>
          <w:u w:val="single"/>
        </w:rPr>
        <w:t xml:space="preserve">(a)  The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and one public member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house of representatives and one public member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committee serves at the pleasure of the appointing official.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the speaker of the house of representatives shall alternate appointing the presiding officer of the committee.  The presiding officer shall serve a two-year term expiring February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531.183.</w:t>
      </w:r>
      <w:r>
        <w:rPr>
          <w:u w:val="single"/>
        </w:rPr>
        <w:t xml:space="preserve"> </w:t>
      </w:r>
      <w:r>
        <w:rPr>
          <w:u w:val="single"/>
        </w:rPr>
        <w:t xml:space="preserve"> </w:t>
      </w:r>
      <w:r>
        <w:rPr>
          <w:u w:val="single"/>
        </w:rPr>
        <w:t xml:space="preserve">COMMITTEE POWERS AND DUTIES.  (a)  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review, and comment on rules proposed by the executive commissioner;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recommendations for legislation proposed by the commission or the attorney general relating to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or any other law, the committee may meet by telephone conference call, videoconference, or other similar telecommunication method. </w:t>
      </w:r>
      <w:r>
        <w:rPr>
          <w:u w:val="single"/>
        </w:rPr>
        <w:t xml:space="preserve"> </w:t>
      </w:r>
      <w:r>
        <w:rPr>
          <w:u w:val="single"/>
        </w:rPr>
        <w:t xml:space="preserve">A meeting held by telephone conference call, videoconference, or other similar telecommunication method is subject to the requirements of Sections 551.125(c), (d), (e), and (f).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hear a facility's complaint regarding an operational dispute and make a recommendation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may issue process, in accordance with Section 301.024, to compel the attendance of witnesses and the production of books, records, documents, and instruments required by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may monitor the effectiveness and efficiency of the facility regulatory system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may propose legislation relating to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may request reports and other information from the commission and the attorney general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regulatory and enforcement system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standards for including a facility in the STAR+PLUS Medicaid managed care program;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effectiveness of the STAR+PLUS Medicaid managed care program in reducing preventable acute care costs.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use the existing staff resources of the senate and the house of representatives to assist the committee in performing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531.184.</w:t>
      </w:r>
      <w:r>
        <w:rPr>
          <w:u w:val="single"/>
        </w:rPr>
        <w:t xml:space="preserve"> </w:t>
      </w:r>
      <w:r>
        <w:rPr>
          <w:u w:val="single"/>
        </w:rPr>
        <w:t xml:space="preserve"> </w:t>
      </w:r>
      <w:r>
        <w:rPr>
          <w:u w:val="single"/>
        </w:rPr>
        <w:t xml:space="preserve">REPORT.  (a)  The committee shall submit a report to the governor, lieutenant governor, and speaker of the house of representatives not later than November 15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any significant problems in the facility regulatory and enforcement system, with recommendations for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effectiveness and efficiency of the facility regulatory system of this state, with recommendations for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recommendations for any necessary or appropriate legislative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531.185.</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Not later than December 1, 2021, the Health and Human Services Commission shall modify inspection forms to conform to the requirements of this Act.</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inspection, survey, or investigation conducted on or after January 1, 2022.</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lieutenant governor and the speaker of the house of representatives shall appoint members to the long-term care legislative oversight committee as required by Subchapter E-1, Chapter 531, Government Code, as added by this Act.  The speaker of the house of representatives shall appoint the first presiding officer of the committee.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