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87R582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939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access to care and provider network provisions in a contract between the Health and Human Services Commission and a Medicaid managed care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w:t>
      </w:r>
      <w:r>
        <w:rPr>
          <w:u w:val="single"/>
        </w:rPr>
        <w:t xml:space="preserve">access to and</w:t>
      </w:r>
      <w:r>
        <w:t xml:space="preserv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w:t>
      </w:r>
      <w:r>
        <w:rPr>
          <w:u w:val="single"/>
        </w:rPr>
        <w:t xml:space="preserve">utilization</w:t>
      </w:r>
      <w:r>
        <w:t xml:space="preserve"> [</w:t>
      </w:r>
      <w:r>
        <w:rPr>
          <w:strike/>
        </w:rPr>
        <w:t xml:space="preserve">usages</w:t>
      </w:r>
      <w:r>
        <w:t xml:space="preserve">] of out-of-network providers or groups of out-of-network providers may not exceed limits </w:t>
      </w:r>
      <w:r>
        <w:rPr>
          <w:u w:val="single"/>
        </w:rPr>
        <w:t xml:space="preserve">determined by the commission, including limits</w:t>
      </w:r>
      <w:r>
        <w:t xml:space="preserve"> [</w:t>
      </w:r>
      <w:r>
        <w:rPr>
          <w:strike/>
        </w:rPr>
        <w:t xml:space="preserve">for those usages</w:t>
      </w:r>
      <w:r>
        <w:t xml:space="preserve">] relating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total inpatient admissions, total outpatient services, and emergency room admissions [</w:t>
      </w:r>
      <w:r>
        <w:rPr>
          <w:strike/>
        </w:rPr>
        <w:t xml:space="preserve">determined by the commission</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acute care services not described by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long-term services and supports;</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rPr>
          <w:u w:val="single"/>
        </w:rPr>
        <w:t xml:space="preserve">annually</w:t>
      </w:r>
      <w:r>
        <w:t xml:space="preserve"> [</w:t>
      </w:r>
      <w:r>
        <w:rPr>
          <w:strike/>
        </w:rPr>
        <w:t xml:space="preserve">regularly, as determined by the commission,</w:t>
      </w:r>
      <w:r>
        <w:t xml:space="preserve">]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average length of time between[</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date a provider requests prior authorization for the care or service and the date the organization approves or denies the request;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rPr>
          <w:u w:val="single"/>
        </w:rPr>
        <w:t xml:space="preserve">the average length of time between</w:t>
      </w:r>
      <w:r>
        <w:t xml:space="preserve"> the date the organization approves a request for prior authorization for the care or service and the date the care or service is initiated; </w:t>
      </w:r>
      <w:r>
        <w:rPr>
          <w:u w:val="single"/>
        </w:rPr>
        <w:t xml:space="preserve">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number of providers who are accepting new patients;</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 or, as applicable, the national core indicators adult consumer survey and the national core indicators child family survey for individuals with an intellectual or developmental disability;</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except as provided by Paragraph (L)(ii),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except as provided by Paragraph (L)(i),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(C-1)</w:t>
      </w:r>
      <w:r xml:space="preserve">
        <w:t> </w:t>
      </w:r>
      <w:r xml:space="preserve">
        <w:t> </w:t>
      </w:r>
      <w:r>
        <w:t xml:space="preserve">that does not require a clinical, nonpreferred, or other prior authorization for any antiretroviral drug, as defined by Section 531.073, or a step therapy or other protocol, that could restrict or delay the dispensing of the drug except to minimize fraud, waste, or abuse;</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and</w:t>
      </w:r>
    </w:p>
    <w:p w:rsidR="003F3435" w:rsidRDefault="0032493E">
      <w:pPr>
        <w:spacing w:line="480" w:lineRule="auto"/>
        <w:ind w:firstLine="2160"/>
        <w:jc w:val="both"/>
      </w:pPr>
      <w:r>
        <w:t xml:space="preserve">(L)</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531.072;</w:t>
      </w:r>
    </w:p>
    <w:p w:rsidR="003F3435" w:rsidRDefault="0032493E">
      <w:pPr>
        <w:spacing w:line="480" w:lineRule="auto"/>
        <w:ind w:firstLine="2880"/>
        <w:jc w:val="both"/>
      </w:pPr>
      <w:r>
        <w:t xml:space="preserve">(ii)</w:t>
      </w:r>
      <w:r xml:space="preserve">
        <w:t> </w:t>
      </w:r>
      <w:r xml:space="preserve">
        <w:t> </w:t>
      </w:r>
      <w: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t xml:space="preserve">(iii)</w:t>
      </w:r>
      <w:r xml:space="preserve">
        <w:t> </w:t>
      </w:r>
      <w:r xml:space="preserve">
        <w:t> </w:t>
      </w:r>
      <w: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t xml:space="preserve">(iv)</w:t>
      </w:r>
      <w:r xml:space="preserve">
        <w:t> </w:t>
      </w:r>
      <w:r xml:space="preserve">
        <w:t> </w:t>
      </w:r>
      <w: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reductions;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requirements specified by Subsection (a), a contract described by that subsection must provide that if the managed care organization has an ownership interest in a health care provider in the organization's provider network, the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in the provider network at least one other health care provider of the same type in which the organization does not have an ownership interest unless the organization is able to demonstrate to the commission that the provider included in the provider network is the only provider located in an area that meets requirements established by the commission relating to the time and distance a recipient is expected to travel to receive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give preference in authorizing referrals to the provider in which the organization has an ownership interest as compared to other providers of the same or similar services participating in the organization's provider network.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the effective date of this Act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