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clinical decision support software and laboratory benefits management programs in connection with the provision of clinical laboratory services to certain managed care plan enrollees.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1451, Insurance Code, is amended by adding Subchapter L to read as follows:</w:t>
      </w:r>
    </w:p>
    <w:p w:rsidR="003F3435" w:rsidRDefault="0032493E">
      <w:pPr>
        <w:spacing w:line="480" w:lineRule="auto"/>
        <w:jc w:val="center"/>
      </w:pPr>
      <w:r>
        <w:rPr>
          <w:u w:val="single"/>
        </w:rPr>
        <w:t xml:space="preserve">SUBCHAPTER L. CLINICAL LABORATORY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"Clinical decision support software" means computer software that compares patient characteristics to a database of clinical knowledge to produce patient-specific assessments or recommendations to assist a physician or health care provider in making clinical decisions.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"Clinical laboratory service" means the examination of a specimen taken from a human body ordered by a physician or health care provider for use in the diagnosis, prevention, or treatment of a disease or the identification or assessment of a medical or physical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"Enrollee" means an individual enrolled in a managed care plan.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"Esoteric molecular and genomic testing" means any test of a patient specimen analyzing multiple biomarkers of deoxyribonucleic acid, ribonucleic acid, or proteins using a unique algorithm to yield a patient-specific prognosis or diagnosis.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"Laboratory benefits management program" means a managed care plan issuer protocol or program administered by the managed care plan issuer or an entity under contract with the managed care plan issuer that directs or limits decision making of a physician or health care provider authorized to order clinical laboratory services.  The term includes a requirement for a physician or health care provider to provide advance notice of an order for clinical laboratory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"Managed care plan" means a health benefit plan under which health care services are provided to enrollees through contracts with physicians or health care providers and that requires enrollees to use participating providers or that provides a different level of coverage for enrollees who use participating providers.  The term includes 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preferred or exclusive provider benefit plan issuer;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entity that issues a health benefit plan described by this subdivision, including an insurance company.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"National medical consensus guidelines" means applicable generally accepted practice guidelines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supported by peer-reviewed medical literature;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promulgated by the federal government or by a national professional medical society, board, or association.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"Participating provider" means a physician or health care provider who has contracted with a managed care plan issuer to provide services to enrollees.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1451.552.</w:t>
      </w:r>
      <w:r>
        <w:rPr>
          <w:u w:val="single"/>
        </w:rPr>
        <w:t xml:space="preserve"> </w:t>
      </w:r>
      <w:r>
        <w:rPr>
          <w:u w:val="single"/>
        </w:rPr>
        <w:t xml:space="preserve"> </w:t>
      </w:r>
      <w:r>
        <w:rPr>
          <w:u w:val="single"/>
        </w:rPr>
        <w:t xml:space="preserve">CERTAIN REQUIREMENTS FOR CLINICAL LABORATORY SERVICES PROHIBITED; EXCEPTION.  (a)  Except as provided by Subsection (d), a managed care plan issuer may not require the use of clinical decision support software or a laboratory benefits management program by an enrollee's physician or health care provider before, at the time, or after the physician or health care provider orders a clinical laboratory service for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issuer may not direct or limit the decision making of an enrollee's physician or health care provider relating to the referral of a patient specimen to a laboratory in the managed care plan network or a network otherwise designated by the managed care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managed care plan issuer may not limit, reduce, or deny payment for a clinical laboratory service based on whether the ordering physician or health care provider uses clinical decision support software or a laboratory benefits management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order for a clinical laboratory service if the specimen is not obtained in a hospital or ambulatory surgical center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order is for esoteric molecular and genomic testing;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national medical consensus guidelines available for the clinical laboratory service ordered.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1451.553.</w:t>
      </w:r>
      <w:r>
        <w:rPr>
          <w:u w:val="single"/>
        </w:rPr>
        <w:t xml:space="preserve"> </w:t>
      </w:r>
      <w:r>
        <w:rPr>
          <w:u w:val="single"/>
        </w:rPr>
        <w:t xml:space="preserve"> </w:t>
      </w:r>
      <w:r>
        <w:rPr>
          <w:u w:val="single"/>
        </w:rPr>
        <w:t xml:space="preserve">CERTAIN REQUIREMENTS FOR SECOND OPINION PROHIBITED.  A managed care plan issuer may not routinely require a second opinion of a pathologist's finding from another pathologist unless the second opinion is medically warranted based on the specific clinical presentation of the enrollee or other clinical factors relevant to the enrollee.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1451.554.</w:t>
      </w:r>
      <w:r>
        <w:rPr>
          <w:u w:val="single"/>
        </w:rPr>
        <w:t xml:space="preserve"> </w:t>
      </w:r>
      <w:r>
        <w:rPr>
          <w:u w:val="single"/>
        </w:rPr>
        <w:t xml:space="preserve"> </w:t>
      </w:r>
      <w:r>
        <w:rPr>
          <w:u w:val="single"/>
        </w:rPr>
        <w:t xml:space="preserve">CLINICAL DECISION SUPPORT SOFTWARE AND LABORATORY BENEFITS MANAGEMENT PROGRAM REQUIREMENTS.  (a)  A managed care plan issuer may only use clinical decision support software or a laboratory benefits management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transparently based on published, peer-reviewed medical literature;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timely and routine updates based on national medical consensus guidelines and the most current medical knowledge;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immediately overridden by a physician based on the physician's medical judgment.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managed care plan issuer may not use a laboratory benefits management program that is administered, created, or owned by an individual or entity with an interest in a clinical laboratory in the managed care plan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1451.555.</w:t>
      </w:r>
      <w:r>
        <w:rPr>
          <w:u w:val="single"/>
        </w:rPr>
        <w:t xml:space="preserve"> </w:t>
      </w:r>
      <w:r>
        <w:rPr>
          <w:u w:val="single"/>
        </w:rPr>
        <w:t xml:space="preserve"> </w:t>
      </w:r>
      <w:r>
        <w:rPr>
          <w:u w:val="single"/>
        </w:rPr>
        <w:t xml:space="preserve">SUPERVISION BY COMPARABLE PROFESSIONAL REQUIRED.  A managed care plan issuer may only use clinical decision support software, a laboratory benefits management program, or a prior authorization protocol for clinical laboratory services that is supervised by a physician of the same or a similar specialty as the ordering physician or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1451.556.</w:t>
      </w:r>
      <w:r>
        <w:rPr>
          <w:u w:val="single"/>
        </w:rPr>
        <w:t xml:space="preserve"> </w:t>
      </w:r>
      <w:r>
        <w:rPr>
          <w:u w:val="single"/>
        </w:rPr>
        <w:t xml:space="preserve"> </w:t>
      </w:r>
      <w:r>
        <w:rPr>
          <w:u w:val="single"/>
        </w:rPr>
        <w:t xml:space="preserve">APPLICABILITY OF SUBCHAPTER TO ENTITIES CONTRACTING WITH MANAGED CARE PLAN ISSUER.  This subchapter applies to a person with whom a managed care plan issuer contracts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manage or administer benefits for clinical laboratory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or pay claims;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the services of physicians or other health care providers to provide health care services to enrollees;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verifications or prior authorizations.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1451.557.</w:t>
      </w:r>
      <w:r>
        <w:rPr>
          <w:u w:val="single"/>
        </w:rPr>
        <w:t xml:space="preserve"> </w:t>
      </w:r>
      <w:r>
        <w:rPr>
          <w:u w:val="single"/>
        </w:rPr>
        <w:t xml:space="preserve"> </w:t>
      </w:r>
      <w:r>
        <w:rPr>
          <w:u w:val="single"/>
        </w:rPr>
        <w:t xml:space="preserve">CONSTRUCTION OF SUBCHAPTER.  This subchapter may not be construed to regulate the implementation or administration of clinical decision support software, a laboratory benefits management program, or a prior authorization protocol by an entity, including a health care entity, that is not acting on behalf of or at the direction of a managed care plan issuer in adopting the software, program, or protocol.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L, Chapter 1451, Insurance Code, as added by this Act, applies only to a contract between a managed care plan issuer and a physician or health care provider that is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