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authentication and recording of instruments conveying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406, Government Code, is amended by adding Section 406.0131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406.0131.</w:t>
      </w:r>
      <w:r>
        <w:rPr>
          <w:u w:val="single"/>
        </w:rPr>
        <w:t xml:space="preserve"> </w:t>
      </w:r>
      <w:r>
        <w:rPr>
          <w:u w:val="single"/>
        </w:rPr>
        <w:t xml:space="preserve"> </w:t>
      </w:r>
      <w:r>
        <w:rPr>
          <w:u w:val="single"/>
        </w:rPr>
        <w:t xml:space="preserve">SEAL REQUIRED FOR CERTAIN INSTRUMENTS CONVEYING REAL PROPERTY.  (a) In addition to the seal required under Section 406.013, a notary public shall provide a seal of office that complies with this section to authenticate an official act involving an instrument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conveys real property or an interest in real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provided to a county clerk for recording.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seal provided by a notary under this section must leave a physical indentation when affixed to paper.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the design for the seal required by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12.001,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law, an instrument conveying real property or an interest in real property that is acknowledged or sworn to before and certified by a notary public may not be recorded unless the notary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certifies the instrument with the seal required under Section 406.0131,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affixes the seal over the notary public's signature on the certification;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affixes the seal on each page of the instrument or copy of the instrument provided to the county clerk.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12.0013, Property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a</w:t>
      </w:r>
      <w:r>
        <w:t xml:space="preserve"> [</w:t>
      </w:r>
      <w:r>
        <w:rPr>
          <w:strike/>
        </w:rPr>
        <w:t xml:space="preserve">A</w:t>
      </w:r>
      <w:r>
        <w:t xml:space="preserve">] document that is a paper or tangible copy of an electronic record and is printed and declared to be a true and correct copy as provided by Subsection (d) satisfies any requirement of law that, as a condition for recording, the document:</w:t>
      </w:r>
    </w:p>
    <w:p w:rsidR="003F3435" w:rsidRDefault="0032493E">
      <w:pPr>
        <w:spacing w:line="480" w:lineRule="auto"/>
        <w:ind w:firstLine="1440"/>
        <w:jc w:val="both"/>
      </w:pPr>
      <w:r>
        <w:t xml:space="preserve">(1)</w:t>
      </w:r>
      <w:r xml:space="preserve">
        <w:t> </w:t>
      </w:r>
      <w:r xml:space="preserve">
        <w:t> </w:t>
      </w:r>
      <w:r>
        <w:t xml:space="preserve">be an original or be in writing;</w:t>
      </w:r>
    </w:p>
    <w:p w:rsidR="003F3435" w:rsidRDefault="0032493E">
      <w:pPr>
        <w:spacing w:line="480" w:lineRule="auto"/>
        <w:ind w:firstLine="1440"/>
        <w:jc w:val="both"/>
      </w:pPr>
      <w:r>
        <w:t xml:space="preserve">(2)</w:t>
      </w:r>
      <w:r xml:space="preserve">
        <w:t> </w:t>
      </w:r>
      <w:r xml:space="preserve">
        <w:t> </w:t>
      </w:r>
      <w:r>
        <w:t xml:space="preserve">be signed or contain an original signature, if the document contains an image of an electronic signature of the person required to sign the document; and</w:t>
      </w:r>
    </w:p>
    <w:p w:rsidR="003F3435" w:rsidRDefault="0032493E">
      <w:pPr>
        <w:spacing w:line="480" w:lineRule="auto"/>
        <w:ind w:firstLine="1440"/>
        <w:jc w:val="both"/>
      </w:pPr>
      <w:r>
        <w:t xml:space="preserve">(3)</w:t>
      </w:r>
      <w:r xml:space="preserve">
        <w:t> </w:t>
      </w:r>
      <w:r xml:space="preserve">
        <w:t> </w:t>
      </w:r>
      <w:r>
        <w:t xml:space="preserve">be notarized, acknowledged, verified, witnessed, made under oath, sworn to with a jurat, or proved according to law, if the document contains an image of an electronic signature of the person authorized to perform that act and all other information required to be included.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an instrument conveying real property or an interest in real property that is acknowledged or sworn to before and certified by a notary public may not be recorded unless the instrument meets the requirements of Section 12.001(b-1).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15.004, Property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if</w:t>
      </w:r>
      <w:r>
        <w:t xml:space="preserve"> [</w:t>
      </w:r>
      <w:r>
        <w:rPr>
          <w:strike/>
        </w:rPr>
        <w:t xml:space="preserve">If</w:t>
      </w:r>
      <w:r>
        <w:t xml:space="preserve">] a law requires, as a condition for recording, that a document be an original, be on paper or another tangible medium, or be in writing, the requirement is satisfied by an electronic document that complies with the requirements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clerk may not record an electronic document that is an instrument conveying real property or an interest in real property that is acknowledged or sworn to before and certified by a notary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secretary of state shall prescribe the design for the seal of office required by Section 406.0131, Government Code, as added by this Act, not later than December 1, 2021.</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recording of a document filed for recording on or after January 1, 2022.  The recording of a document filed for recording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