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87R4908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of certain public meetings for certain permits issued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5.554,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5.554.</w:t>
      </w:r>
      <w:r xml:space="preserve">
        <w:t> </w:t>
      </w:r>
      <w:r xml:space="preserve">
        <w:t> </w:t>
      </w:r>
      <w:r>
        <w:t xml:space="preserve">PUBLIC MEETING.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During the public comment period, the executive director may hold one or more public meetings in the county in which the facility is located or proposed to be located. </w:t>
      </w:r>
      <w:r>
        <w:t xml:space="preserve"> </w:t>
      </w:r>
      <w:r>
        <w:t xml:space="preserve">The executive director shall hold a public meeting: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the request of a member of the legislature who represents the general area in which the facility is located or proposed to be located;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 determines that there is substantial public interest in the proposed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meeting requested under Subsection (a)(1) shall be held in the house district in which the facility or proposed facility is located or proposed to be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does not apply to a public meeting held under Section 5.554, Water Code, as amended by this Act, for which the location of the public meeting was determined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