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87R3675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971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public schools from leasing, owning, or having a business interest in certain entities and real property associated with those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45, Education Code, is amended by adding Section 45.116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45.116.</w:t>
      </w:r>
      <w:r>
        <w:rPr>
          <w:u w:val="single"/>
        </w:rPr>
        <w:t xml:space="preserve"> </w:t>
      </w:r>
      <w:r>
        <w:rPr>
          <w:u w:val="single"/>
        </w:rPr>
        <w:t xml:space="preserve"> </w:t>
      </w:r>
      <w:r>
        <w:rPr>
          <w:u w:val="single"/>
        </w:rPr>
        <w:t xml:space="preserve">OWNERSHIP OF OR BUSINESS INTEREST IN CERTAIN ENTITIES AND PROPERTY PROHIBITED.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has the meaning assigned by Section 1.002, Business Organizations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 interest" means owning or controlling, directly or indirectly, more than a 10 percent interest in a business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if the commissioner determines that a business interest in an entity or the lease or ownership of real property, directly or indirectly through an affiliate, by a school district or open-enrollment charter school is used primarily for classroom space or serves a public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directly or indirectly through an affiliate, including an affiliated nonprofit corporation, have a business interest in an entity or lease or own real property in this state associated with an entity described by the North American Industry Classification System (NAICS) in any of the following sector codes: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Sector 53: Real Estate and Rental and Leasing;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Sector 71: Arts, Entertainment, and Recreation;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Sector 72: Accommodation and Food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or restrict a school district or open-enrollment charter school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renting, leasing, or otherwise providing real property or a facility that the district or school owns or leases to an individual or entity for use by that individual or entity if the district or school is not prohibited from owning or leasing the real property or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entering into a lease or other financing arrangement for district or school property provided by other law, including with a public facility corporation created under Chapter 303, Local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operating a cafeteria for students and school personnel;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offering culinary arts classes;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allowing culinary arts students, district or school staff, or hired staff to serve food at an event hosted by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  (a)  The change in law made by this Act applies only to real property leased or acquired by a school district or open-enrollment charter school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 in law made by this Act applies to a business interest in an entity acquired by a school district or open-enrollment charter school before, on, or after the effective date of this Act. </w:t>
      </w:r>
      <w:r>
        <w:t xml:space="preserve"> </w:t>
      </w:r>
      <w:r>
        <w:t xml:space="preserve">Except as provided by Subsection (c) of this section, a school district or open-enrollment charter school subject to Section 45.116, Education Code, as added by this Act, shall divest all business interest in an entity described by that section not later than September 1, 2026, unless the commissioner of education determines that the business interest serves a public purpose in accordance with Section 45.116(b), Education Code, as added by this Act.</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subject to Section 45.116, Education Code, as added by this Act, that owns a natatorium that is associated with an entity that the district or school must divest under Subsection (b) of this section may retain ownership of the natatorium and may provide for access between the natatorium and the associated entity, so long as the district or school divests the business interest in the associated entity in accordance with Subsection (b)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