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87R2007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Leach, Ashby, Martinez, Moody</w:t>
      </w:r>
      <w:r xml:space="preserve">
        <w:tab wTab="150" tlc="none" cTlc="0"/>
      </w:r>
      <w:r>
        <w:t xml:space="preserve">H.B.</w:t>
      </w:r>
      <w:r xml:space="preserve">
        <w:t> </w:t>
      </w:r>
      <w:r>
        <w:t xml:space="preserve">No.</w:t>
      </w:r>
      <w:r xml:space="preserve">
        <w:t> </w:t>
      </w:r>
      <w:r>
        <w:t xml:space="preserve">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 judge or magistrate to preside over a regional specialty court program and the authority of that judge or magistrate in cases referred to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121, Government Code, is amended by adding Sections 121.003 and 121.004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APPOINTMENT OF PRESIDING JUDGE OR MAGISTRATE FOR REGIONAL SPECIALTY COURT PROGRAM.  A judge or magistrate of a district court or statutory county court who is authorized by law to hear criminal cases may be appointed to preside over a regional specialty court program recognized under this subtitle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administrative district and statutory county court judges of each county participating in the program approve the appointment by majority vote or another approval method selected by the judges;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presiding judges of each of the administrative judicial regions in which the participating counties are located sign an order granting the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121.004.</w:t>
      </w:r>
      <w:r>
        <w:rPr>
          <w:u w:val="single"/>
        </w:rPr>
        <w:t xml:space="preserve"> </w:t>
      </w:r>
      <w:r>
        <w:rPr>
          <w:u w:val="single"/>
        </w:rPr>
        <w:t xml:space="preserve"> </w:t>
      </w:r>
      <w:r>
        <w:rPr>
          <w:u w:val="single"/>
        </w:rPr>
        <w:t xml:space="preserve">JURISDICTION AND AUTHORITY OF JUDGE OR MAGISTRATE IN REGIONAL SPECIALTY COURT PROGRAM.  (a)  A judge or magistrate appointed to preside over a regional specialty court program may hear any misdemeanor or felony case properly transferred to the program by an originating trial court participating in the program, regardless of whether the originating trial court and specialty court program are in the same county. The appointed judge or magistrate may exercise only the authority granted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or magistrate of a regional specialty court program may for a case properly transferred to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orders, judgments, and decrees for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 orders of detention, order community service, or impose other reasonable and necessary sanctions;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send recommendations for dismissal and expunction to the originating trial court for a defendant who successfully completes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the case and documentation required by this subtitle to the originating trial court for final disposition on a defendant's successful completion of or removal from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visiting judge assigned to preside over a regional specialty court program has the same authority as the judge or magistrate appointed to preside over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Section 121.003, Government Code, as added by this Act, applies only to the appointment of a judge or magistrate to preside over a regional specialty court program that occurs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121.004, Government Code, as added by this Act, applies to a case pending in a regional specialty court program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