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87R3580 MAW-D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Larson</w:t>
      </w:r>
      <w:r xml:space="preserve">
        <w:tab wTab="150" tlc="none" cTlc="0"/>
      </w:r>
      <w:r>
        <w:t xml:space="preserve">H.B.</w:t>
      </w:r>
      <w:r xml:space="preserve">
        <w:t> </w:t>
      </w:r>
      <w:r>
        <w:t xml:space="preserve">No.</w:t>
      </w:r>
      <w:r xml:space="preserve">
        <w:t> </w:t>
      </w:r>
      <w:r>
        <w:t xml:space="preserve">979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time and place for the convening of the legislature for annual regular sessions.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301.001, Government Code, is amended to read as follows:</w:t>
      </w:r>
    </w:p>
    <w:p w:rsidR="003F3435" w:rsidRDefault="0032493E">
      <w:pPr>
        <w:spacing w:line="480" w:lineRule="auto"/>
        <w:ind w:firstLine="720"/>
        <w:jc w:val="both"/>
      </w:pPr>
      <w:r>
        <w:t xml:space="preserve">Sec.</w:t>
      </w:r>
      <w:r xml:space="preserve">
        <w:t> </w:t>
      </w:r>
      <w:r>
        <w:t xml:space="preserve">301.001.</w:t>
      </w:r>
      <w:r xml:space="preserve">
        <w:t> </w:t>
      </w:r>
      <w:r xml:space="preserve">
        <w:t> </w:t>
      </w:r>
      <w:r>
        <w:t xml:space="preserve">TIME AND PLACE OF MEETING.  The legislature shall convene at the seat of government in regular session at 12 noon on the </w:t>
      </w:r>
      <w:r>
        <w:rPr>
          <w:u w:val="single"/>
        </w:rPr>
        <w:t xml:space="preserve">first Monday in March</w:t>
      </w:r>
      <w:r>
        <w:t xml:space="preserve"> [</w:t>
      </w:r>
      <w:r>
        <w:rPr>
          <w:strike/>
        </w:rPr>
        <w:t xml:space="preserve">second Tuesday in January</w:t>
      </w:r>
      <w:r>
        <w:t xml:space="preserve">] of each [</w:t>
      </w:r>
      <w:r>
        <w:rPr>
          <w:strike/>
        </w:rPr>
        <w:t xml:space="preserve">odd-numbered</w:t>
      </w:r>
      <w:r>
        <w:t xml:space="preserve">]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December 1, 2021, but only if the constitutional amendment proposed by the 87th Legislature, Regular Session, 2021, providing for annual legislative sessions is approved by the voters.  If that proposed constitutional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