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87R1053 KKR-D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Howard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982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an expedited licensing process for certain advanced practice registered nurses; authorizing a fee.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F, Chapter 301, Occupations Code, is amended by adding Section 301.262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301.262.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EXPEDITED LICENSING PROCESS FOR OUT-OF-STATE ADVANCED PRACTICE REGISTERED NURSES. </w:t>
      </w:r>
      <w:r>
        <w:rPr>
          <w:u w:val="single"/>
        </w:rPr>
        <w:t xml:space="preserve"> </w:t>
      </w:r>
      <w:r>
        <w:rPr>
          <w:u w:val="single"/>
        </w:rPr>
        <w:t xml:space="preserve">(a)  The board by rule shall create an expedited licensing process for an applicant who holds a license or other authorization in good standing to practice nursing as an advanced practice registered nurse issued by another state.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board may establish a fee in an amount sufficient to cover the cost of the expedited licensing process.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180-day deadline and extension provisions under Section 301.260(c) do not apply to the expedited licensing process required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Texas Board of Nursing shall create and implement the expedited licensing process under Section 301.262, Occupations Code, as added by this Act, not later than January 1, 2022.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982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