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25.25(d), Tax Code, is amended to read as follows:</w:t>
      </w:r>
    </w:p>
    <w:p w:rsidR="003F3435" w:rsidRDefault="0032493E">
      <w:pPr>
        <w:spacing w:line="480" w:lineRule="auto"/>
        <w:ind w:firstLine="720"/>
        <w:jc w:val="both"/>
      </w:pPr>
      <w:r>
        <w:t xml:space="preserve">(d)</w:t>
      </w:r>
      <w:r xml:space="preserve">
        <w:t> </w:t>
      </w:r>
      <w:r xml:space="preserve">
        <w:t> </w:t>
      </w:r>
      <w:r>
        <w:t xml:space="preserve">At any time prior to the date the taxes become delinquent, a property owner or the chief appraiser may file a motion with the appraisal review board to change the appraisal roll to correct an error</w:t>
      </w:r>
      <w:r>
        <w:rPr>
          <w:u w:val="single"/>
        </w:rPr>
        <w:t xml:space="preserve">, including an error regarding the unequal appraisal or excessive market value of a property,</w:t>
      </w:r>
      <w:r>
        <w:t xml:space="preserve"> that resulted in an incorrect appraised value for the owner's property. </w:t>
      </w:r>
      <w:r>
        <w:t xml:space="preserve"> </w:t>
      </w:r>
      <w:r>
        <w:t xml:space="preserve">However, the error may not be corrected unless it resulted in an appraised value that exceeds by more than:</w:t>
      </w:r>
    </w:p>
    <w:p w:rsidR="003F3435" w:rsidRDefault="0032493E">
      <w:pPr>
        <w:spacing w:line="480" w:lineRule="auto"/>
        <w:ind w:firstLine="1440"/>
        <w:jc w:val="both"/>
      </w:pPr>
      <w:r>
        <w:t xml:space="preserve">(1)</w:t>
      </w:r>
      <w:r xml:space="preserve">
        <w:t> </w:t>
      </w:r>
      <w:r xml:space="preserve">
        <w:t> </w:t>
      </w:r>
      <w:r>
        <w:t xml:space="preserve">one-fourth the correct appraised value, in the case of property that qualifies as the owner's residence homestead under Section 11.13; or</w:t>
      </w:r>
    </w:p>
    <w:p w:rsidR="003F3435" w:rsidRDefault="0032493E">
      <w:pPr>
        <w:spacing w:line="480" w:lineRule="auto"/>
        <w:ind w:firstLine="1440"/>
        <w:jc w:val="both"/>
      </w:pPr>
      <w:r>
        <w:t xml:space="preserve">(2)</w:t>
      </w:r>
      <w:r xml:space="preserve">
        <w:t> </w:t>
      </w:r>
      <w:r xml:space="preserve">
        <w:t> </w:t>
      </w:r>
      <w:r>
        <w:t xml:space="preserve">one-third the correct appraised value, in the case of property that does not qualify as the owner's residence homestead under Section 11.13.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