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87R3276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disposition of charges for registering a motor vehicle that has been operated while improperly registered.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502.045, Transportation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assessor-collector shall credit to the county road and bridge fund 50 percent of revenue from an additional charge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502.198(a),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</w:t>
      </w:r>
      <w:r>
        <w:rPr>
          <w:u w:val="single"/>
        </w:rPr>
        <w:t xml:space="preserve">502.045(d-1),</w:t>
      </w:r>
      <w:r>
        <w:t xml:space="preserve"> 502.058, 502.060, 502.1911, 502.192, 502.356, and 502.357 and Subchapter H, this section applies to all fees collected by a county assessor-collector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502.045(d-1), Transportation Code, as added by this Act, applies only to an additional charge described by that subsection that is received by a county assessor-collector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