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87R7149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999: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999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individual graduation committees for certain high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28.0258, Education Code, is amended by adding Subsections (a-1) and (h-1)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section applies to any student in grade 12 during the 2020-2021, 2021-2022, or 2022-2023 school year regardless of whether the student meets the criteria described by Subsection (a). This subsection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(h), in determining whether a student described by Subsection (a-1) is qualified to graduate, an individual graduation committee is not required to consider criteria under Subsection (h) relating to the student's performance on an end-of-course assessment instrument administered under Section 39.023. This subsection expires September 1, 2023.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999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