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individual graduation committee qualification requirements for certain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28.0258, Education Code, is amended by amending Subsection (a) and adding Subsection (a-1) and (h-1)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</w:t>
      </w:r>
      <w:r>
        <w:rPr>
          <w:strike/>
        </w:rPr>
        <w:t xml:space="preserve">only</w:t>
      </w:r>
      <w:r>
        <w:t xml:space="preserve"> to an 11th or 12th grade student who has failed to comply with the end-of-course assessment instrument performance requirements under Section 39.025 for not more than two courses.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all 12th grade students for the 2020-2021, 2021-2022, and 2022-2023 school years without the performance requirements under Subsection (a).  This subsection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2020-2021, 2021-2022, and 2022-2023 school years, an individual graduation committee may determine that a student is qualified to graduate without considering performance on any end-of-course assessment instruments administered under Section 39.023, Education Code.  This subsection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