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 Patterson</w:t>
      </w:r>
      <w:r>
        <w:t xml:space="preserve"> </w:t>
      </w:r>
      <w:r xml:space="preserve">
        <w:tab wTab="150" tlc="none" cTlc="0"/>
      </w:r>
      <w:r>
        <w:t xml:space="preserve">H.B.</w:t>
      </w:r>
      <w:r xml:space="preserve">
        <w:t> </w:t>
      </w:r>
      <w:r>
        <w:t xml:space="preserve">No.</w:t>
      </w:r>
      <w:r xml:space="preserve">
        <w:t> </w:t>
      </w:r>
      <w:r>
        <w:t xml:space="preserve">999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 West)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999</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individual graduation committees for certain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28.0258, Education Code, is amended by adding Subsections (a-1) and (h-1)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this section applies to any student in grade 12 during the 2020-2021 school year regardless of whether the student meets the criteria described by Subsection (a).  The commissioner may by rule apply this section to students in grade 12 during the 2021-2022 school year in the same manner under this subsection, if the commissioner determines the application of this section to those students is appropriate. </w:t>
      </w:r>
      <w:r>
        <w:rPr>
          <w:u w:val="single"/>
        </w:rPr>
        <w:t xml:space="preserve"> </w:t>
      </w:r>
      <w:r>
        <w:rPr>
          <w:u w:val="single"/>
        </w:rPr>
        <w:t xml:space="preserve">This subsection expires September 1, 2022.</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  This subsection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