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hypnotically induced testimony in a criminal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38.24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38.24.</w:t>
      </w:r>
      <w:r>
        <w:rPr>
          <w:u w:val="single"/>
        </w:rPr>
        <w:t xml:space="preserve"> </w:t>
      </w:r>
      <w:r>
        <w:rPr>
          <w:u w:val="single"/>
        </w:rPr>
        <w:t xml:space="preserve"> </w:t>
      </w:r>
      <w:r>
        <w:rPr>
          <w:u w:val="single"/>
        </w:rPr>
        <w:t xml:space="preserve">TESTIMONY OBTAINED BY HYPNOSIS.  The testimony of a person obtained by hypnotizing the person is not admissible against a defendant in a criminal trial, whether offered in the guilt or innocence phase or the punishment phase of the trial.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evidence in a criminal proceeding that commences on or after the effective date of this Act. 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