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87R3400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requisites of a bail bond given by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