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87R4808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the serious bodily injury of a child; providing a criminal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Family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shall immediately make a report as provided by this subchapter if the person knows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suffered a serious bodily injury, as defined by Section 1.07, Penal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serious bodily injury was caused by abuse or neglect.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261.109, Family Code, is amended by adding Subsections (a-2) and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is required to make a report under Section 261.101(a-1) and knowingly fails to make a report as provided in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Subsection (a-2) is a state jail felony unless it is shown on the trial of the offense that the child was younger than seven years of age and died as a result of the serious bodily injury, in which event the offense is a third degree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