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87R16300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Oliverson, Guerra</w:t>
      </w:r>
      <w:r xml:space="preserve">
        <w:tab wTab="150" tlc="none" cTlc="0"/>
      </w:r>
      <w:r>
        <w:t xml:space="preserve">H.B.</w:t>
      </w:r>
      <w:r xml:space="preserve">
        <w:t> </w:t>
      </w:r>
      <w:r>
        <w:t xml:space="preserve">No.</w:t>
      </w:r>
      <w:r xml:space="preserve">
        <w:t> </w:t>
      </w:r>
      <w:r>
        <w:t xml:space="preserve">1011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expedited death certificates for religious purposes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193, Health and Safety Code, is amended by adding Section 193.0025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193.0025.</w:t>
      </w:r>
      <w:r>
        <w:rPr>
          <w:u w:val="single"/>
        </w:rPr>
        <w:t xml:space="preserve"> </w:t>
      </w:r>
      <w:r>
        <w:rPr>
          <w:u w:val="single"/>
        </w:rPr>
        <w:t xml:space="preserve"> </w:t>
      </w:r>
      <w:r>
        <w:rPr>
          <w:u w:val="single"/>
        </w:rPr>
        <w:t xml:space="preserve">EXPEDITED DEATH CERTIFICATES FOR RELIGIOUS PURPOSES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an office of medical examiner established in accordance with Section 1, Article 49.25,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commissioners court of the county by resolution elects for this section to apply.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county that entered into an agreement with another county to create a medical examiners district under Section 1-a, Article 49.25, Code of Criminal Procedure,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medical examiner is located in the county and the county has adopted a resolution described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Subsection (a), the county elects for this section to apply in the agreement creating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submit to the person required to file a death certificate under Section 193.002 a written request for the person to expedite the completion of a decedent's death certificate if the requestor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expedited completion is necessary for religious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decedent's remains will be interred, entombed, buried, cremated, or otherwise laid to rest in a foreign country;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requestor is authorized to obtain a copy of the death certificate.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receives a request under Subsection (c) shall issue a copy of the decedent's death certificate to the requestor not later than 48 hours after the time the person receives the request unless an inquest will be conducted for the decedent.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completing an expedited death certificate under this section, a medical examiner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medical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the medical certification,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medical examiner has access to the decedent's medical history relevant to the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decedent's death is due to natural causes;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medical examiner serves as medical examiner of the county in which the death occurred.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193.0025,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