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Oliverson, Guerra</w:t>
      </w:r>
      <w:r>
        <w:t xml:space="preserve"> </w:t>
      </w:r>
      <w:r xml:space="preserve">
        <w:tab wTab="150" tlc="none" cTlc="0"/>
      </w:r>
      <w:r>
        <w:t xml:space="preserve">H.B.</w:t>
      </w:r>
      <w:r xml:space="preserve">
        <w:t> </w:t>
      </w:r>
      <w:r>
        <w:t xml:space="preserve">No.</w:t>
      </w:r>
      <w:r xml:space="preserve">
        <w:t> </w:t>
      </w:r>
      <w:r>
        <w:t xml:space="preserve">1011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19,</w:t>
      </w:r>
      <w:r xml:space="preserve">
        <w:t> </w:t>
      </w:r>
      <w:r>
        <w:t xml:space="preserve">2021, read first time and referred to Committee on Health &amp; Human Services; May</w:t>
      </w:r>
      <w:r xml:space="preserve">
        <w:t> </w:t>
      </w:r>
      <w:r>
        <w:t xml:space="preserve">13,</w:t>
      </w:r>
      <w:r xml:space="preserve">
        <w:t> </w:t>
      </w:r>
      <w:r>
        <w:t xml:space="preserve">2021, reported favorably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expedited death certificates for religious purposes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193, Health and Safety Code, is amended by adding Section 193.0025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193.0025.</w:t>
      </w:r>
      <w:r>
        <w:rPr>
          <w:u w:val="single"/>
        </w:rPr>
        <w:t xml:space="preserve"> </w:t>
      </w:r>
      <w:r>
        <w:rPr>
          <w:u w:val="single"/>
        </w:rPr>
        <w:t xml:space="preserve"> </w:t>
      </w:r>
      <w:r>
        <w:rPr>
          <w:u w:val="single"/>
        </w:rPr>
        <w:t xml:space="preserve">EXPEDITED DEATH CERTIFICATES FOR RELIGIOUS PURPOSES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an office of medical examiner established in accordance with Section 1, Article 49.25,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commissioners court of the county by resolution elects for this section to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county that entered into an agreement with another county to create a medical examiners district under Section 1-a, Article 49.25, Code of Criminal Procedure,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medical examiner is located in the county and the county has adopted a resolution described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Subsection (a), the county elects for this section to apply in the agreement creating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to the person required to file a death certificate under Section 193.002 a written request for the person to expedite the completion of a decedent's death certificate if the requestor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expedited completion is necessary for religious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decedent's remains will be interred, entombed, buried, cremated, or otherwise laid to rest in a foreign country;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requestor is authorized to obtain a copy of the death certificate.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receives a request under Subsection (c) shall issue a copy of the decedent's death certificate to the requestor not later than 48 hours after the time the person receives the request unless an inquest will be conducted for the decedent.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completing an expedited death certificate under this section, a medical examiner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medical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the medical certification,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medical examiner has access to the decedent's medical history relevant to the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decedent's death is due to natural causes;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medical examiner serves as medical examiner of the county in which the death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193.0025,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