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87R679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1013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a decree of divorce include the date of the marriage.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6, Family Code, is amended by adding Section 6.712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6.712.</w:t>
      </w:r>
      <w:r>
        <w:rPr>
          <w:u w:val="single"/>
        </w:rPr>
        <w:t xml:space="preserve"> </w:t>
      </w:r>
      <w:r>
        <w:rPr>
          <w:u w:val="single"/>
        </w:rPr>
        <w:t xml:space="preserve"> </w:t>
      </w:r>
      <w:r>
        <w:rPr>
          <w:u w:val="single"/>
        </w:rPr>
        <w:t xml:space="preserve">DATE OF MARRIAGE REQUIREMENT IN FINAL DECREE.  (a)  In a suit for dissolution of a marriage in which the court grants a divorce, the court shall state the date of the marriage in the decree of divorce.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suit for dissolution of a marriage described by Section 2.401(a)(2).</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suit for dissolution of a marriage filed on or after the effective date of this Act. A suit for dissolution of a marriage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