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1013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12,</w:t>
      </w:r>
      <w:r xml:space="preserve">
        <w:t> </w:t>
      </w:r>
      <w:r>
        <w:t xml:space="preserve">2021; April</w:t>
      </w:r>
      <w:r xml:space="preserve">
        <w:t> </w:t>
      </w:r>
      <w:r>
        <w:t xml:space="preserve">19,</w:t>
      </w:r>
      <w:r xml:space="preserve">
        <w:t> </w:t>
      </w:r>
      <w:r>
        <w:t xml:space="preserve">2021, read first time and referred to Committee on Jurisprudence; May</w:t>
      </w:r>
      <w:r xml:space="preserve">
        <w:t> </w:t>
      </w:r>
      <w:r>
        <w:t xml:space="preserve">14,</w:t>
      </w:r>
      <w:r xml:space="preserve">
        <w:t> </w:t>
      </w:r>
      <w:r>
        <w:t xml:space="preserve">2021, reported favorably by the following vote:</w:t>
      </w:r>
      <w:r>
        <w:t xml:space="preserve"> </w:t>
      </w:r>
      <w:r>
        <w:t xml:space="preserve"> </w:t>
      </w:r>
      <w:r>
        <w:t xml:space="preserve">Yeas 4, Nays 0; May</w:t>
      </w:r>
      <w:r xml:space="preserve">
        <w:t> </w:t>
      </w:r>
      <w:r>
        <w:t xml:space="preserve">14,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requirement that a decree of divorce include the date of the marriage.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6, Family Code, is amended by adding Section 6.712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6.712.</w:t>
      </w:r>
      <w:r>
        <w:rPr>
          <w:u w:val="single"/>
        </w:rPr>
        <w:t xml:space="preserve"> </w:t>
      </w:r>
      <w:r>
        <w:rPr>
          <w:u w:val="single"/>
        </w:rPr>
        <w:t xml:space="preserve"> </w:t>
      </w:r>
      <w:r>
        <w:rPr>
          <w:u w:val="single"/>
        </w:rPr>
        <w:t xml:space="preserve">DATE OF MARRIAGE REQUIREMENT IN FINAL DECREE.  (a)  In a suit for dissolution of a marriage in which the court grants a divorce, the court shall state the date of the marriage in the decree of divorce.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suit for dissolution of a marriage described by Section 2.401(a)(2).</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suit for dissolution of a marriage filed on or after the effective date of this Act. A suit for dissolution of a marriage filed before the effective date of this Act is governed by the law in effect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