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publication of required notice by a political subdivision by alternative media.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G to read as follows:</w:t>
      </w:r>
    </w:p>
    <w:p w:rsidR="003F3435" w:rsidRDefault="0032493E">
      <w:pPr>
        <w:spacing w:line="480" w:lineRule="auto"/>
        <w:jc w:val="center"/>
      </w:pPr>
      <w:r>
        <w:rPr>
          <w:u w:val="single"/>
        </w:rPr>
        <w:t xml:space="preserve">SUBCHAPTER G. NOTICE BY PUBLICATION IN MEDIA OTHER THAN NEWSPAPER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2051.251.</w:t>
      </w:r>
      <w:r>
        <w:rPr>
          <w:u w:val="single"/>
        </w:rPr>
        <w:t xml:space="preserve"> </w:t>
      </w:r>
      <w:r>
        <w:rPr>
          <w:u w:val="single"/>
        </w:rPr>
        <w:t xml:space="preserve"> </w:t>
      </w:r>
      <w:r>
        <w:rPr>
          <w:u w:val="single"/>
        </w:rPr>
        <w:t xml:space="preserve">NOTICE BY ALTERNATIVE MEDIA.  (a) A political subdivision may satisfy a requirement in any other law to provide notice by publication in a newspaper by publishing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media described by Subsection (c) that the political subdivision determines has greater circulation than the newspaper with the greatest circulation in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Internet websites maintained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political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providing notice by an alternative method under Subsection (a), a political subdivision must hold a public meeting about the alternative notice method. </w:t>
      </w:r>
      <w:r>
        <w:rPr>
          <w:u w:val="single"/>
        </w:rPr>
        <w:t xml:space="preserve"> </w:t>
      </w:r>
      <w:r>
        <w:rPr>
          <w:u w:val="single"/>
        </w:rPr>
        <w:t xml:space="preserve">During the meeting, the political subdivision must demonstrate that the circulation of the alternative media will be greater than the circulation of the newspaper with the greatest circulation in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forms of media are authorized for providing notice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free newspapers;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newspapers;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homeowners'</w:t>
      </w:r>
      <w:r>
        <w:rPr>
          <w:u w:val="single"/>
        </w:rPr>
        <w:t xml:space="preserve"> </w:t>
      </w:r>
      <w:r>
        <w:rPr>
          <w:u w:val="single"/>
        </w:rPr>
        <w:t xml:space="preserve">association newsletter or magazine;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utility bills;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mailings;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form of media authorized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that provides notice using alternative media under this section shall submit notice to the comptroller describing the alternative notice method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subscribers within the political subdivision of the newspaper with the greatest circulation in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alternative media used for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circulation of the alternative media used for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under Subsection (d), the comptroller shall promptly publish on the comptroller's Internet website notice as described by Subsection (a)(2), unless the comptroller requires notice by newspaper under Subsection (f) or waives the requirement under Subsection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require a political subdivision to provide notice by newspaper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the alternative media used by the political subdivision to provide notice under Subsection (a) does not have a greater circulation than the newspaper with the greatest circulation in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written notice to the political subdivision of the comptroller's determination under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political subdivision may request from the comptroller, and the comptroller may grant, a waiver from the requirements of Subsection (a)(2) if the political subdivision provides sufficient proof that Internet access is limited in the political subdivision. </w:t>
      </w:r>
      <w:r>
        <w:rPr>
          <w:u w:val="single"/>
        </w:rPr>
        <w:t xml:space="preserve"> </w:t>
      </w:r>
      <w:r>
        <w:rPr>
          <w:u w:val="single"/>
        </w:rPr>
        <w:t xml:space="preserve">If the comptroller grants the waiver, the political subdivision must provide additional notice on a public agenda board within the political subdivision.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Notice published under Subsection (a)(2) must be made available for the period of time required by law for which the publication of the notice is required in a newspaper.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2051.252.</w:t>
      </w:r>
      <w:r>
        <w:rPr>
          <w:u w:val="single"/>
        </w:rPr>
        <w:t xml:space="preserve"> </w:t>
      </w:r>
      <w:r>
        <w:rPr>
          <w:u w:val="single"/>
        </w:rPr>
        <w:t xml:space="preserve"> </w:t>
      </w:r>
      <w:r>
        <w:rPr>
          <w:u w:val="single"/>
        </w:rPr>
        <w:t xml:space="preserve">COMPTROLLER ALTERNATIVE NOTICE REPORT.  (a) The comptroller shall prepare a report that identifies and compares the effectiveness of different methods of notice publication used by political subdivisions. The report must include all types of notice that are used under this chapter and laws that require the publication of a notice in a newspaper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comptroller shall submit the report described by Subsection (a) to the governor, lieutenant governor, and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2051.253.</w:t>
      </w:r>
      <w:r>
        <w:rPr>
          <w:u w:val="single"/>
        </w:rPr>
        <w:t xml:space="preserve"> </w:t>
      </w:r>
      <w:r>
        <w:rPr>
          <w:u w:val="single"/>
        </w:rPr>
        <w:t xml:space="preserve"> </w:t>
      </w:r>
      <w:r>
        <w:rPr>
          <w:u w:val="single"/>
        </w:rPr>
        <w:t xml:space="preserve">RULEMAKING AUTHORITY.  The comptroller may adopt rules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