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87R3830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Howard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1031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voter registration application forms in high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13.046(h),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secretary of state shall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consult with the Texas Education Agency regarding the number of registration application forms to provide to each high school;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to each high school registration application forms once each fall and spring semester in the number determined from the consultation under Subdivision (1);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prescribe any additional procedures necessary to implement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2021-2022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1031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