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87R2977 TJB-D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Anchia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acceptance of political contributions by a member of the Railroad Commission of Texas and of political contributions made in connection with the office of railroad commissioner.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81, Natural Resources Code, is amended by adding Section 81.010045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81.010045.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POLITICAL CONTRIBUTIONS RESTRICTED.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"political committee" and "political contribution" have the meanings assigned by Section 251.001, Election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commissioner may not knowingly accept a political contribution given or offered with the intention that it be used in connection with a campaign for or the holding of any elective office, including the office of commissioner, except during the period: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beginning 17 months before the date of the next general election at which the commissioner's office is filled;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ending on the 30th day after the date of that election.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other than a commissioner may not knowingly accept a political contribution given or offered with the intention that it be used in connection with a campaign for the office of commissioner, except: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during the period: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beginning 17 months before the date of the next general election at which any commissioner's office is filled;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ending on the 30th day after the date of that election;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during the period beginning on the date a vacancy in the office of commissioner occurs and ending on the date that vacancy is filled.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commissioner may not knowingly accept a political contribution, and shall refuse a political contribution that is received, from a party in a contested case before the commission or a political committee affiliated with such a party during the period: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beginning on the date notice of the hearing in the contested case is given;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ending 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30th day after the date the decision in the contested case is rendered;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request for rehearing is filed: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the request is denied;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30th day after the date the decision after rehearing is rendered.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commissioner shall return a political contribution that is received and refused under Subsection (d) not later than the 30th day after the date the commissioner received the contribution.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all rules necessary to implement Subsections (d) and (e), including rules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direct the commission to maintain a list of the contested cases before the commission and the parties to each case in order to aid the commissioners in complying with those subsections;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ensure that each notice of a hearing in a contested case that is issued by the commission or a commissioner contains information about the political contributions prohibited under Subsection 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